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E356A">
      <w:pPr>
        <w:spacing w:line="578" w:lineRule="exact"/>
        <w:jc w:val="center"/>
        <w:rPr>
          <w:rFonts w:hint="eastAsia" w:asciiTheme="majorEastAsia" w:hAnsiTheme="majorEastAsia" w:eastAsiaTheme="majorEastAsia" w:cstheme="majorEastAsia"/>
          <w:b/>
          <w:bCs/>
          <w:color w:val="auto"/>
          <w:sz w:val="44"/>
          <w:szCs w:val="44"/>
        </w:rPr>
      </w:pPr>
      <w:r>
        <w:rPr>
          <w:rFonts w:hint="eastAsia" w:asciiTheme="majorEastAsia" w:hAnsiTheme="majorEastAsia" w:eastAsiaTheme="majorEastAsia" w:cstheme="majorEastAsia"/>
          <w:b/>
          <w:bCs/>
          <w:color w:val="auto"/>
          <w:sz w:val="44"/>
          <w:szCs w:val="44"/>
        </w:rPr>
        <w:t>海口江东新区管理局本级</w:t>
      </w:r>
      <w:r>
        <w:rPr>
          <w:rFonts w:hint="default" w:asciiTheme="majorEastAsia" w:hAnsiTheme="majorEastAsia" w:eastAsiaTheme="majorEastAsia" w:cstheme="majorEastAsia"/>
          <w:b/>
          <w:bCs/>
          <w:color w:val="auto"/>
          <w:sz w:val="44"/>
          <w:szCs w:val="44"/>
          <w:lang w:val="en-US"/>
        </w:rPr>
        <w:t>2025</w:t>
      </w:r>
      <w:r>
        <w:rPr>
          <w:rFonts w:hint="eastAsia" w:asciiTheme="majorEastAsia" w:hAnsiTheme="majorEastAsia" w:eastAsiaTheme="majorEastAsia" w:cstheme="majorEastAsia"/>
          <w:b/>
          <w:bCs/>
          <w:color w:val="auto"/>
          <w:sz w:val="44"/>
          <w:szCs w:val="44"/>
        </w:rPr>
        <w:t>年度部门决算公开报告</w:t>
      </w:r>
    </w:p>
    <w:p w14:paraId="6C2B2D3A">
      <w:pPr>
        <w:spacing w:line="578" w:lineRule="exact"/>
        <w:jc w:val="center"/>
        <w:rPr>
          <w:rFonts w:hint="eastAsia" w:ascii="黑体" w:hAnsi="ˎ̥" w:eastAsia="黑体"/>
          <w:b/>
          <w:color w:val="auto"/>
          <w:sz w:val="32"/>
          <w:szCs w:val="32"/>
        </w:rPr>
      </w:pPr>
    </w:p>
    <w:p w14:paraId="67E677DB">
      <w:pPr>
        <w:spacing w:line="578" w:lineRule="exact"/>
        <w:jc w:val="center"/>
        <w:rPr>
          <w:rFonts w:hint="eastAsia" w:ascii="黑体" w:hAnsi="ˎ̥" w:eastAsia="黑体"/>
          <w:b/>
          <w:color w:val="auto"/>
          <w:sz w:val="32"/>
          <w:szCs w:val="32"/>
        </w:rPr>
      </w:pPr>
    </w:p>
    <w:p w14:paraId="6A8F1018">
      <w:pPr>
        <w:spacing w:line="578" w:lineRule="exact"/>
        <w:jc w:val="center"/>
        <w:rPr>
          <w:rFonts w:hint="eastAsia" w:ascii="黑体" w:hAnsi="黑体" w:eastAsia="黑体" w:cs="黑体"/>
          <w:color w:val="auto"/>
          <w:sz w:val="44"/>
          <w:szCs w:val="44"/>
        </w:rPr>
      </w:pPr>
      <w:bookmarkStart w:id="0" w:name="_Toc11440_WPSOffice_Type2"/>
      <w:r>
        <w:rPr>
          <w:rFonts w:hint="eastAsia" w:ascii="黑体" w:hAnsi="黑体" w:eastAsia="黑体" w:cs="黑体"/>
          <w:color w:val="auto"/>
          <w:sz w:val="44"/>
          <w:szCs w:val="44"/>
        </w:rPr>
        <w:t>目  录</w:t>
      </w:r>
    </w:p>
    <w:p w14:paraId="6A2F743B">
      <w:pPr>
        <w:pStyle w:val="16"/>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_Toc1704_WPSOffice_Level1 </w:instrText>
      </w:r>
      <w:r>
        <w:rPr>
          <w:color w:val="auto"/>
          <w:sz w:val="32"/>
          <w:szCs w:val="32"/>
        </w:rPr>
        <w:fldChar w:fldCharType="separate"/>
      </w:r>
      <w:r>
        <w:rPr>
          <w:rFonts w:hint="eastAsia" w:ascii="黑体" w:hAnsi="ˎ̥" w:eastAsia="黑体"/>
          <w:color w:val="auto"/>
          <w:sz w:val="32"/>
          <w:szCs w:val="32"/>
        </w:rPr>
        <w:t>第一部分 基本情况</w:t>
      </w:r>
      <w:r>
        <w:rPr>
          <w:color w:val="auto"/>
          <w:sz w:val="32"/>
          <w:szCs w:val="32"/>
        </w:rPr>
        <w:tab/>
      </w:r>
      <w:r>
        <w:rPr>
          <w:color w:val="auto"/>
          <w:sz w:val="32"/>
          <w:szCs w:val="32"/>
        </w:rPr>
        <w:fldChar w:fldCharType="end"/>
      </w:r>
      <w:r>
        <w:rPr>
          <w:rFonts w:hint="eastAsia"/>
          <w:color w:val="auto"/>
          <w:sz w:val="32"/>
          <w:szCs w:val="32"/>
        </w:rPr>
        <w:t>2</w:t>
      </w:r>
    </w:p>
    <w:p w14:paraId="29CBFE79">
      <w:pPr>
        <w:pStyle w:val="17"/>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_Toc20274_WPSOffice_Level2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一、部门（单位）职责</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14:paraId="09089809">
      <w:pPr>
        <w:pStyle w:val="17"/>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_Toc4833_WPSOffice_Level2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二、机构设置</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w:t>
      </w:r>
    </w:p>
    <w:p w14:paraId="3B013F23">
      <w:pPr>
        <w:pStyle w:val="16"/>
        <w:tabs>
          <w:tab w:val="right" w:leader="dot" w:pos="8306"/>
        </w:tabs>
        <w:spacing w:line="578" w:lineRule="exact"/>
        <w:rPr>
          <w:rFonts w:hint="eastAsia" w:eastAsia="宋体"/>
          <w:color w:val="auto"/>
          <w:sz w:val="32"/>
          <w:szCs w:val="32"/>
          <w:lang w:eastAsia="zh-CN"/>
        </w:rPr>
      </w:pPr>
      <w:r>
        <w:rPr>
          <w:color w:val="auto"/>
          <w:sz w:val="32"/>
          <w:szCs w:val="32"/>
        </w:rPr>
        <w:fldChar w:fldCharType="begin"/>
      </w:r>
      <w:r>
        <w:rPr>
          <w:color w:val="auto"/>
          <w:sz w:val="32"/>
          <w:szCs w:val="32"/>
        </w:rPr>
        <w:instrText xml:space="preserve"> HYPERLINK \l _Toc28253_WPSOffice_Level1 </w:instrText>
      </w:r>
      <w:r>
        <w:rPr>
          <w:color w:val="auto"/>
          <w:sz w:val="32"/>
          <w:szCs w:val="32"/>
        </w:rPr>
        <w:fldChar w:fldCharType="separate"/>
      </w: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年度部门决算公开表</w:t>
      </w:r>
      <w:r>
        <w:rPr>
          <w:color w:val="auto"/>
          <w:sz w:val="32"/>
          <w:szCs w:val="32"/>
        </w:rPr>
        <w:tab/>
      </w:r>
      <w:r>
        <w:rPr>
          <w:color w:val="auto"/>
          <w:sz w:val="32"/>
          <w:szCs w:val="32"/>
        </w:rPr>
        <w:fldChar w:fldCharType="end"/>
      </w:r>
      <w:r>
        <w:rPr>
          <w:rFonts w:hint="eastAsia"/>
          <w:color w:val="auto"/>
          <w:sz w:val="32"/>
          <w:szCs w:val="32"/>
          <w:lang w:val="en-US" w:eastAsia="zh-CN"/>
        </w:rPr>
        <w:t>3</w:t>
      </w:r>
    </w:p>
    <w:p w14:paraId="6E57563D">
      <w:pPr>
        <w:pStyle w:val="16"/>
        <w:tabs>
          <w:tab w:val="right" w:leader="dot" w:pos="8306"/>
        </w:tabs>
        <w:spacing w:line="578" w:lineRule="exact"/>
        <w:rPr>
          <w:rFonts w:hint="eastAsia" w:eastAsia="宋体"/>
          <w:color w:val="auto"/>
          <w:sz w:val="32"/>
          <w:szCs w:val="32"/>
          <w:lang w:eastAsia="zh-CN"/>
        </w:rPr>
      </w:pPr>
      <w:r>
        <w:rPr>
          <w:color w:val="auto"/>
          <w:sz w:val="32"/>
          <w:szCs w:val="32"/>
        </w:rPr>
        <w:fldChar w:fldCharType="begin"/>
      </w:r>
      <w:r>
        <w:rPr>
          <w:color w:val="auto"/>
          <w:sz w:val="32"/>
          <w:szCs w:val="32"/>
        </w:rPr>
        <w:instrText xml:space="preserve"> HYPERLINK \l _Toc27590_WPSOffice_Level1 </w:instrText>
      </w:r>
      <w:r>
        <w:rPr>
          <w:color w:val="auto"/>
          <w:sz w:val="32"/>
          <w:szCs w:val="32"/>
        </w:rPr>
        <w:fldChar w:fldCharType="separate"/>
      </w:r>
      <w:r>
        <w:rPr>
          <w:rFonts w:hint="eastAsia" w:ascii="黑体" w:hAnsi="黑体" w:eastAsia="黑体" w:cs="黑体"/>
          <w:color w:val="auto"/>
          <w:sz w:val="32"/>
          <w:szCs w:val="32"/>
        </w:rPr>
        <w:t>第三部分</w:t>
      </w:r>
      <w:r>
        <w:rPr>
          <w:rFonts w:hint="eastAsia"/>
          <w:color w:val="auto"/>
          <w:sz w:val="32"/>
          <w:szCs w:val="32"/>
        </w:rPr>
        <w:t xml:space="preserve">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r>
        <w:rPr>
          <w:color w:val="auto"/>
          <w:sz w:val="32"/>
          <w:szCs w:val="32"/>
        </w:rPr>
        <w:tab/>
      </w:r>
      <w:r>
        <w:rPr>
          <w:color w:val="auto"/>
          <w:sz w:val="32"/>
          <w:szCs w:val="32"/>
        </w:rPr>
        <w:fldChar w:fldCharType="end"/>
      </w:r>
      <w:r>
        <w:rPr>
          <w:rFonts w:hint="eastAsia"/>
          <w:color w:val="auto"/>
          <w:sz w:val="32"/>
          <w:szCs w:val="32"/>
          <w:lang w:val="en-US" w:eastAsia="zh-CN"/>
        </w:rPr>
        <w:t>4</w:t>
      </w:r>
    </w:p>
    <w:p w14:paraId="65C40179">
      <w:pPr>
        <w:pStyle w:val="17"/>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_Toc21737_WPSOffice_Level2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一、收入支出总体情况说明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w:t>
      </w:r>
    </w:p>
    <w:p w14:paraId="4BD7D57F">
      <w:pPr>
        <w:pStyle w:val="17"/>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二、收入决算情况说明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0C54764D">
      <w:pPr>
        <w:pStyle w:val="17"/>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三、支出决算情况说明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5</w:t>
      </w:r>
    </w:p>
    <w:p w14:paraId="51FC70A3">
      <w:pPr>
        <w:pStyle w:val="17"/>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四、财政拨款收入支出决算</w:t>
      </w:r>
      <w:r>
        <w:rPr>
          <w:rFonts w:hint="eastAsia" w:ascii="仿宋" w:hAnsi="仿宋" w:eastAsia="仿宋" w:cs="仿宋"/>
          <w:bCs/>
          <w:color w:val="auto"/>
          <w:sz w:val="32"/>
          <w:szCs w:val="32"/>
          <w:lang w:val="en-US" w:eastAsia="zh-CN"/>
        </w:rPr>
        <w:t>总体</w:t>
      </w:r>
      <w:r>
        <w:rPr>
          <w:rFonts w:hint="eastAsia" w:ascii="仿宋" w:hAnsi="仿宋" w:eastAsia="仿宋" w:cs="仿宋"/>
          <w:bCs/>
          <w:color w:val="auto"/>
          <w:sz w:val="32"/>
          <w:szCs w:val="32"/>
        </w:rPr>
        <w:t>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5</w:t>
      </w:r>
    </w:p>
    <w:p w14:paraId="7A0C8420">
      <w:pPr>
        <w:pStyle w:val="17"/>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五、一般公共预算财政拨款支出决算情况说明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5</w:t>
      </w:r>
    </w:p>
    <w:p w14:paraId="0F3513AE">
      <w:pPr>
        <w:pStyle w:val="17"/>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六、一般公共预算财政拨款基本支出决算情况说明</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p>
    <w:p w14:paraId="14C271AC">
      <w:pPr>
        <w:pStyle w:val="17"/>
        <w:numPr>
          <w:ilvl w:val="0"/>
          <w:numId w:val="0"/>
        </w:numPr>
        <w:tabs>
          <w:tab w:val="right" w:leader="dot" w:pos="8306"/>
        </w:tabs>
        <w:spacing w:line="578" w:lineRule="exact"/>
        <w:rPr>
          <w:rFonts w:hint="eastAsia" w:ascii="仿宋" w:hAnsi="仿宋" w:eastAsia="仿宋" w:cs="仿宋"/>
          <w:color w:val="auto"/>
          <w:sz w:val="32"/>
          <w:szCs w:val="32"/>
          <w:lang w:val="en-US" w:eastAsia="zh-CN"/>
        </w:rPr>
      </w:pPr>
      <w:r>
        <w:rPr>
          <w:rFonts w:hint="eastAsia" w:ascii="仿宋" w:hAnsi="仿宋" w:eastAsia="仿宋" w:cs="仿宋"/>
          <w:bCs/>
          <w:color w:val="auto"/>
          <w:sz w:val="32"/>
          <w:szCs w:val="32"/>
          <w:lang w:val="en-US" w:eastAsia="zh-CN"/>
        </w:rPr>
        <w:t>七、</w:t>
      </w:r>
      <w:r>
        <w:rPr>
          <w:rFonts w:hint="eastAsia" w:ascii="仿宋" w:hAnsi="仿宋" w:eastAsia="仿宋" w:cs="仿宋"/>
          <w:bCs/>
          <w:color w:val="auto"/>
          <w:sz w:val="32"/>
          <w:szCs w:val="32"/>
        </w:rPr>
        <w:t>政府性基金预算财政拨款支出决算情况说明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p>
    <w:p w14:paraId="341B0484">
      <w:pPr>
        <w:pStyle w:val="17"/>
        <w:numPr>
          <w:ilvl w:val="0"/>
          <w:numId w:val="0"/>
        </w:numPr>
        <w:tabs>
          <w:tab w:val="right" w:leader="dot" w:pos="8306"/>
        </w:tabs>
        <w:spacing w:line="578" w:lineRule="exact"/>
        <w:rPr>
          <w:rFonts w:hint="default" w:ascii="仿宋" w:hAnsi="仿宋" w:eastAsia="仿宋" w:cs="仿宋"/>
          <w:color w:val="auto"/>
          <w:sz w:val="32"/>
          <w:szCs w:val="32"/>
          <w:lang w:val="en-US" w:eastAsia="zh-CN"/>
        </w:rPr>
      </w:pPr>
      <w:r>
        <w:rPr>
          <w:rFonts w:hint="eastAsia" w:ascii="仿宋" w:hAnsi="仿宋" w:eastAsia="仿宋" w:cs="仿宋"/>
          <w:bCs/>
          <w:color w:val="auto"/>
          <w:sz w:val="32"/>
          <w:szCs w:val="32"/>
          <w:lang w:val="en-US" w:eastAsia="zh-CN"/>
        </w:rPr>
        <w:t>八、</w:t>
      </w:r>
      <w:r>
        <w:rPr>
          <w:rFonts w:hint="eastAsia" w:ascii="仿宋" w:hAnsi="仿宋" w:eastAsia="仿宋" w:cs="仿宋"/>
          <w:bCs/>
          <w:color w:val="auto"/>
          <w:sz w:val="32"/>
          <w:szCs w:val="32"/>
        </w:rPr>
        <w:t>国有资本经营预算财政拨款支出决算情况说明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12</w:t>
      </w:r>
    </w:p>
    <w:p w14:paraId="4A5010BD">
      <w:pPr>
        <w:pStyle w:val="17"/>
        <w:tabs>
          <w:tab w:val="right" w:leader="dot" w:pos="8306"/>
        </w:tabs>
        <w:spacing w:line="578" w:lineRule="exact"/>
        <w:ind w:leftChars="0"/>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九、财政拨款“三公”经费支出决算情况说明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12</w:t>
      </w:r>
    </w:p>
    <w:p w14:paraId="23F091F4">
      <w:pPr>
        <w:pStyle w:val="17"/>
        <w:tabs>
          <w:tab w:val="right" w:leader="dot" w:pos="8306"/>
        </w:tabs>
        <w:spacing w:line="578" w:lineRule="exact"/>
        <w:ind w:leftChars="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十、预算绩效情况说明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3</w:t>
      </w:r>
    </w:p>
    <w:p w14:paraId="11226842">
      <w:pPr>
        <w:pStyle w:val="17"/>
        <w:numPr>
          <w:ilvl w:val="0"/>
          <w:numId w:val="0"/>
        </w:numPr>
        <w:tabs>
          <w:tab w:val="right" w:leader="dot" w:pos="8306"/>
        </w:tabs>
        <w:spacing w:line="578" w:lineRule="exact"/>
        <w:rPr>
          <w:rFonts w:hint="eastAsia" w:ascii="仿宋" w:hAnsi="仿宋" w:eastAsia="仿宋" w:cs="仿宋"/>
          <w:color w:val="auto"/>
          <w:sz w:val="32"/>
          <w:szCs w:val="32"/>
          <w:lang w:val="en-US" w:eastAsia="zh-CN"/>
        </w:rPr>
      </w:pPr>
      <w:r>
        <w:rPr>
          <w:rFonts w:hint="eastAsia" w:ascii="仿宋" w:hAnsi="仿宋" w:eastAsia="仿宋" w:cs="仿宋"/>
          <w:bCs/>
          <w:color w:val="auto"/>
          <w:sz w:val="32"/>
          <w:szCs w:val="32"/>
          <w:lang w:val="en-US" w:eastAsia="zh-CN"/>
        </w:rPr>
        <w:t>十一、</w:t>
      </w:r>
      <w:r>
        <w:rPr>
          <w:rFonts w:hint="eastAsia" w:ascii="仿宋" w:hAnsi="仿宋" w:eastAsia="仿宋" w:cs="仿宋"/>
          <w:bCs/>
          <w:color w:val="auto"/>
          <w:sz w:val="32"/>
          <w:szCs w:val="32"/>
        </w:rPr>
        <w:t>落实习惯过紧日子要求、保障重点支出情况说明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p>
    <w:p w14:paraId="4705ABB2">
      <w:pPr>
        <w:pStyle w:val="17"/>
        <w:tabs>
          <w:tab w:val="right" w:leader="dot" w:pos="8306"/>
        </w:tabs>
        <w:spacing w:line="578" w:lineRule="exact"/>
        <w:ind w:leftChars="0"/>
        <w:rPr>
          <w:rFonts w:hint="eastAsia" w:ascii="仿宋" w:hAnsi="仿宋" w:eastAsia="仿宋" w:cs="仿宋"/>
          <w:color w:val="auto"/>
          <w:sz w:val="32"/>
          <w:szCs w:val="32"/>
          <w:lang w:val="en-US" w:eastAsia="zh-CN"/>
        </w:rPr>
      </w:pPr>
      <w:r>
        <w:rPr>
          <w:rFonts w:hint="eastAsia" w:ascii="仿宋" w:hAnsi="仿宋" w:eastAsia="仿宋" w:cs="仿宋"/>
          <w:bCs/>
          <w:color w:val="auto"/>
          <w:sz w:val="32"/>
          <w:szCs w:val="32"/>
        </w:rPr>
        <w:t>十</w:t>
      </w:r>
      <w:r>
        <w:rPr>
          <w:rFonts w:hint="eastAsia" w:ascii="仿宋" w:hAnsi="仿宋" w:eastAsia="仿宋" w:cs="仿宋"/>
          <w:bCs/>
          <w:color w:val="auto"/>
          <w:sz w:val="32"/>
          <w:szCs w:val="32"/>
          <w:lang w:val="en-US" w:eastAsia="zh-CN"/>
        </w:rPr>
        <w:t>二</w:t>
      </w:r>
      <w:r>
        <w:rPr>
          <w:rFonts w:hint="eastAsia" w:ascii="仿宋" w:hAnsi="仿宋" w:eastAsia="仿宋" w:cs="仿宋"/>
          <w:bCs/>
          <w:color w:val="auto"/>
          <w:sz w:val="32"/>
          <w:szCs w:val="32"/>
        </w:rPr>
        <w:t>、其他重要事项情况说明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p>
    <w:p w14:paraId="1704E608">
      <w:pPr>
        <w:pStyle w:val="16"/>
        <w:tabs>
          <w:tab w:val="right" w:leader="dot" w:pos="8306"/>
        </w:tabs>
        <w:spacing w:line="578" w:lineRule="exact"/>
        <w:rPr>
          <w:rFonts w:hint="eastAsia" w:ascii="黑体" w:hAnsi="ˎ̥" w:eastAsia="宋体"/>
          <w:b/>
          <w:color w:val="auto"/>
          <w:sz w:val="32"/>
          <w:szCs w:val="32"/>
          <w:lang w:val="en-US" w:eastAsia="zh-CN"/>
        </w:rPr>
      </w:pPr>
      <w:r>
        <w:rPr>
          <w:color w:val="auto"/>
          <w:sz w:val="32"/>
          <w:szCs w:val="32"/>
        </w:rPr>
        <w:fldChar w:fldCharType="begin"/>
      </w:r>
      <w:r>
        <w:rPr>
          <w:color w:val="auto"/>
          <w:sz w:val="32"/>
          <w:szCs w:val="32"/>
        </w:rPr>
        <w:instrText xml:space="preserve"> HYPERLINK \l _Toc15425_WPSOffice_Level1 </w:instrText>
      </w:r>
      <w:r>
        <w:rPr>
          <w:color w:val="auto"/>
          <w:sz w:val="32"/>
          <w:szCs w:val="32"/>
        </w:rPr>
        <w:fldChar w:fldCharType="separate"/>
      </w:r>
      <w:r>
        <w:rPr>
          <w:rFonts w:hint="eastAsia" w:ascii="黑体" w:hAnsi="ˎ̥" w:eastAsia="黑体"/>
          <w:color w:val="auto"/>
          <w:sz w:val="32"/>
          <w:szCs w:val="32"/>
        </w:rPr>
        <w:t>第四部分  名词解释</w:t>
      </w:r>
      <w:r>
        <w:rPr>
          <w:color w:val="auto"/>
          <w:sz w:val="32"/>
          <w:szCs w:val="32"/>
        </w:rPr>
        <w:tab/>
      </w:r>
      <w:bookmarkStart w:id="1" w:name="_Toc15425_WPSOffice_Level1Page"/>
      <w:r>
        <w:rPr>
          <w:color w:val="auto"/>
          <w:sz w:val="32"/>
          <w:szCs w:val="32"/>
        </w:rPr>
        <w:t>1</w:t>
      </w:r>
      <w:bookmarkEnd w:id="1"/>
      <w:r>
        <w:rPr>
          <w:color w:val="auto"/>
          <w:sz w:val="32"/>
          <w:szCs w:val="32"/>
        </w:rPr>
        <w:fldChar w:fldCharType="end"/>
      </w:r>
      <w:bookmarkEnd w:id="0"/>
      <w:r>
        <w:rPr>
          <w:rFonts w:hint="eastAsia"/>
          <w:color w:val="auto"/>
          <w:sz w:val="32"/>
          <w:szCs w:val="32"/>
          <w:lang w:val="en-US" w:eastAsia="zh-CN"/>
        </w:rPr>
        <w:t>6</w:t>
      </w:r>
    </w:p>
    <w:p w14:paraId="4EC8D6DA">
      <w:pPr>
        <w:spacing w:line="578" w:lineRule="exact"/>
        <w:jc w:val="both"/>
        <w:rPr>
          <w:rFonts w:hint="eastAsia" w:ascii="黑体" w:hAnsi="ˎ̥" w:eastAsia="黑体"/>
          <w:color w:val="auto"/>
          <w:sz w:val="32"/>
          <w:szCs w:val="32"/>
        </w:rPr>
      </w:pPr>
      <w:bookmarkStart w:id="2" w:name="_Toc23465_WPSOffice_Level1"/>
      <w:bookmarkStart w:id="3" w:name="_Toc32433_WPSOffice_Level1"/>
      <w:bookmarkStart w:id="4" w:name="_Toc10720_WPSOffice_Level1"/>
      <w:bookmarkStart w:id="5" w:name="_Toc10049_WPSOffice_Level1"/>
      <w:bookmarkStart w:id="6" w:name="_Toc22941_WPSOffice_Level1"/>
      <w:bookmarkStart w:id="7" w:name="_Toc1704_WPSOffice_Level1"/>
      <w:bookmarkStart w:id="8" w:name="_Toc24238_WPSOffice_Level2"/>
      <w:bookmarkStart w:id="9" w:name="_Toc32622_WPSOffice_Level2"/>
      <w:bookmarkStart w:id="10" w:name="_Toc14159_WPSOffice_Level2"/>
      <w:bookmarkStart w:id="11" w:name="_Toc26580_WPSOffice_Level2"/>
      <w:bookmarkStart w:id="12" w:name="_Toc20205_WPSOffice_Level2"/>
      <w:bookmarkStart w:id="13" w:name="_Toc20274_WPSOffice_Level2"/>
    </w:p>
    <w:p w14:paraId="13495E08">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第一部分  </w:t>
      </w:r>
      <w:bookmarkEnd w:id="2"/>
      <w:bookmarkEnd w:id="3"/>
      <w:bookmarkEnd w:id="4"/>
      <w:bookmarkEnd w:id="5"/>
      <w:bookmarkEnd w:id="6"/>
      <w:bookmarkEnd w:id="7"/>
      <w:r>
        <w:rPr>
          <w:rFonts w:hint="eastAsia" w:ascii="黑体" w:hAnsi="ˎ̥" w:eastAsia="黑体"/>
          <w:color w:val="auto"/>
          <w:sz w:val="32"/>
          <w:szCs w:val="32"/>
        </w:rPr>
        <w:t>基本情况</w:t>
      </w:r>
    </w:p>
    <w:p w14:paraId="59DE4DDD">
      <w:pPr>
        <w:spacing w:line="578" w:lineRule="exact"/>
        <w:ind w:firstLine="640" w:firstLineChars="200"/>
        <w:rPr>
          <w:rFonts w:hint="eastAsia" w:ascii="楷体" w:hAnsi="楷体" w:eastAsia="楷体" w:cs="楷体"/>
          <w:color w:val="auto"/>
          <w:sz w:val="32"/>
          <w:szCs w:val="32"/>
        </w:rPr>
      </w:pPr>
    </w:p>
    <w:p w14:paraId="4A3D8885">
      <w:pPr>
        <w:numPr>
          <w:ilvl w:val="0"/>
          <w:numId w:val="1"/>
        </w:num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部门</w:t>
      </w:r>
      <w:bookmarkEnd w:id="8"/>
      <w:r>
        <w:rPr>
          <w:rFonts w:hint="eastAsia" w:ascii="黑体" w:hAnsi="黑体" w:eastAsia="黑体" w:cs="黑体"/>
          <w:color w:val="auto"/>
          <w:sz w:val="32"/>
          <w:szCs w:val="32"/>
        </w:rPr>
        <w:t>（单位）职责</w:t>
      </w:r>
      <w:bookmarkEnd w:id="9"/>
      <w:bookmarkEnd w:id="10"/>
      <w:bookmarkEnd w:id="11"/>
      <w:bookmarkEnd w:id="12"/>
      <w:bookmarkEnd w:id="13"/>
    </w:p>
    <w:p w14:paraId="592FA0A0">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海口江东新区管理局作为在江东新区履行相应行政管理和公共服务职责的法定机构，具体负责江东新区的综合协调、开发建设、运营管理、招商引资、产业发展、制度创新、投资促进、企业服务等工作，依照授权或者委托行使相应的行政审批权和公共服务职能。主要职责包括：</w:t>
      </w:r>
    </w:p>
    <w:p w14:paraId="673778DB">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（一）组织拟订本市法规、规章、政策在江东新区的特别适用规定。 </w:t>
      </w:r>
    </w:p>
    <w:p w14:paraId="6743B8DF">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（二）统筹、编制新区产业发展规划、指标体系、产业发展指导目录、准入条件等；组织实施促进产业发展的有关规则和指引。 </w:t>
      </w:r>
    </w:p>
    <w:p w14:paraId="66720E78">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（三）积极探索职责明晰、决策科学、运作高效的体制机制。</w:t>
      </w:r>
    </w:p>
    <w:p w14:paraId="768ACFF6">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（四）负责统筹规划管理、土地管理工作。 </w:t>
      </w:r>
    </w:p>
    <w:p w14:paraId="5C577634">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（五）承担开发建设投融资任务，参与重大项目战略投资。</w:t>
      </w:r>
    </w:p>
    <w:p w14:paraId="3CCB9E23">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（六）负责投资项目动态管理；依法承接除金融类产业项目以外投资项目（含固定资产投资项目）的审批、核准、备案或者转报工作。 </w:t>
      </w:r>
    </w:p>
    <w:p w14:paraId="01565891">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（七）负责招商引资和宣传推介工作。 </w:t>
      </w:r>
    </w:p>
    <w:p w14:paraId="6CFAF256">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（八）负责对外交流与合作。 </w:t>
      </w:r>
    </w:p>
    <w:p w14:paraId="0D1C7B21">
      <w:pPr>
        <w:spacing w:beforeLines="0" w:afterLines="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（九）协调市相关部门和属地政府在江东新区履行各自职责。 </w:t>
      </w:r>
    </w:p>
    <w:p w14:paraId="4978B6CE">
      <w:pPr>
        <w:spacing w:beforeLines="0" w:afterLines="0" w:line="560" w:lineRule="exact"/>
        <w:ind w:firstLine="640" w:firstLineChars="200"/>
        <w:rPr>
          <w:rFonts w:hint="eastAsia" w:ascii="黑体" w:hAnsi="黑体" w:eastAsia="黑体" w:cs="黑体"/>
          <w:color w:val="auto"/>
          <w:sz w:val="32"/>
          <w:szCs w:val="32"/>
          <w:highlight w:val="none"/>
        </w:rPr>
      </w:pPr>
      <w:r>
        <w:rPr>
          <w:rFonts w:hint="eastAsia" w:ascii="仿宋_GB2312" w:hAnsi="仿宋_GB2312" w:eastAsia="仿宋_GB2312" w:cs="仿宋_GB2312"/>
          <w:color w:val="auto"/>
          <w:sz w:val="32"/>
          <w:szCs w:val="32"/>
          <w:highlight w:val="none"/>
        </w:rPr>
        <w:t>（十）市委、市政府赋予的其他职责。</w:t>
      </w:r>
    </w:p>
    <w:p w14:paraId="1A48E890">
      <w:pPr>
        <w:numPr>
          <w:ilvl w:val="0"/>
          <w:numId w:val="0"/>
        </w:numPr>
        <w:spacing w:line="578" w:lineRule="exact"/>
        <w:rPr>
          <w:rFonts w:hint="eastAsia" w:ascii="黑体" w:hAnsi="黑体" w:eastAsia="黑体" w:cs="黑体"/>
          <w:color w:val="auto"/>
          <w:sz w:val="32"/>
          <w:szCs w:val="32"/>
        </w:rPr>
      </w:pPr>
    </w:p>
    <w:p w14:paraId="0680DACE">
      <w:pPr>
        <w:spacing w:line="578" w:lineRule="exact"/>
        <w:ind w:firstLine="640" w:firstLineChars="200"/>
        <w:rPr>
          <w:rFonts w:hint="eastAsia" w:ascii="黑体" w:hAnsi="黑体" w:eastAsia="黑体" w:cs="黑体"/>
          <w:color w:val="auto"/>
          <w:sz w:val="32"/>
          <w:szCs w:val="32"/>
        </w:rPr>
      </w:pPr>
      <w:bookmarkStart w:id="14" w:name="_Toc17796_WPSOffice_Level2"/>
      <w:bookmarkStart w:id="15" w:name="_Toc24474_WPSOffice_Level2"/>
      <w:bookmarkStart w:id="16" w:name="_Toc24059_WPSOffice_Level2"/>
      <w:bookmarkStart w:id="17" w:name="_Toc4833_WPSOffice_Level2"/>
      <w:bookmarkStart w:id="18" w:name="_Toc6572_WPSOffice_Level2"/>
      <w:r>
        <w:rPr>
          <w:rFonts w:hint="eastAsia" w:ascii="黑体" w:hAnsi="黑体" w:eastAsia="黑体" w:cs="黑体"/>
          <w:color w:val="auto"/>
          <w:sz w:val="32"/>
          <w:szCs w:val="32"/>
        </w:rPr>
        <w:t>二、机构设置</w:t>
      </w:r>
      <w:bookmarkEnd w:id="14"/>
      <w:bookmarkEnd w:id="15"/>
      <w:bookmarkEnd w:id="16"/>
      <w:bookmarkEnd w:id="17"/>
      <w:bookmarkEnd w:id="18"/>
    </w:p>
    <w:p w14:paraId="36A88F18">
      <w:pPr>
        <w:ind w:firstLine="640" w:firstLineChars="200"/>
        <w:rPr>
          <w:rFonts w:hint="eastAsia" w:ascii="仿宋_GB2312" w:hAnsi="ˎ̥" w:eastAsia="仿宋_GB2312" w:cs="Times New Roman"/>
          <w:color w:val="auto"/>
          <w:sz w:val="32"/>
          <w:szCs w:val="32"/>
          <w:highlight w:val="none"/>
        </w:rPr>
      </w:pPr>
      <w:bookmarkStart w:id="19" w:name="_Toc8164_WPSOffice_Level1"/>
      <w:bookmarkStart w:id="20" w:name="_Toc15521_WPSOffice_Level1"/>
      <w:bookmarkStart w:id="21" w:name="_Toc30690_WPSOffice_Level1"/>
      <w:bookmarkStart w:id="22" w:name="_Toc6234_WPSOffice_Level1"/>
      <w:bookmarkStart w:id="23" w:name="_Toc30451_WPSOffice_Level1"/>
      <w:bookmarkStart w:id="24" w:name="_Toc28253_WPSOffice_Level1"/>
      <w:bookmarkStart w:id="25" w:name="_Toc32695_WPSOffice_Level2"/>
      <w:bookmarkStart w:id="26" w:name="_Toc8867_WPSOffice_Level2"/>
      <w:bookmarkStart w:id="27" w:name="_Toc6211_WPSOffice_Level2"/>
      <w:bookmarkStart w:id="28" w:name="_Toc4029_WPSOffice_Level2"/>
      <w:bookmarkStart w:id="29" w:name="_Toc11518_WPSOffice_Level2"/>
      <w:bookmarkStart w:id="30" w:name="_Toc32472_WPSOffice_Level2"/>
      <w:r>
        <w:rPr>
          <w:rFonts w:hint="eastAsia" w:ascii="仿宋_GB2312" w:hAnsi="ˎ̥" w:eastAsia="仿宋_GB2312"/>
          <w:color w:val="auto"/>
          <w:sz w:val="32"/>
          <w:szCs w:val="32"/>
          <w:highlight w:val="none"/>
        </w:rPr>
        <w:t>纳入海口江东新区管理局</w:t>
      </w:r>
      <w:r>
        <w:rPr>
          <w:rFonts w:hint="eastAsia" w:ascii="仿宋_GB2312" w:hAnsi="ˎ̥" w:eastAsia="仿宋_GB2312"/>
          <w:color w:val="auto"/>
          <w:sz w:val="32"/>
          <w:szCs w:val="32"/>
          <w:highlight w:val="none"/>
          <w:lang w:eastAsia="zh-CN"/>
        </w:rPr>
        <w:t>202</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lang w:eastAsia="zh-CN"/>
        </w:rPr>
        <w:t>年度</w:t>
      </w:r>
      <w:r>
        <w:rPr>
          <w:rFonts w:hint="eastAsia" w:ascii="仿宋_GB2312" w:hAnsi="ˎ̥" w:eastAsia="仿宋_GB2312"/>
          <w:color w:val="auto"/>
          <w:sz w:val="32"/>
          <w:szCs w:val="32"/>
          <w:highlight w:val="none"/>
        </w:rPr>
        <w:t>部门决算编制范围的预算单位为海口江东新区管理局本级，无二级预算单</w:t>
      </w:r>
      <w:r>
        <w:rPr>
          <w:rFonts w:hint="eastAsia" w:ascii="仿宋_GB2312" w:hAnsi="ˎ̥" w:eastAsia="仿宋_GB2312" w:cs="Times New Roman"/>
          <w:color w:val="auto"/>
          <w:sz w:val="32"/>
          <w:szCs w:val="32"/>
          <w:highlight w:val="none"/>
        </w:rPr>
        <w:t>位。</w:t>
      </w:r>
    </w:p>
    <w:p w14:paraId="0545183F">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s="Times New Roman"/>
          <w:color w:val="auto"/>
          <w:sz w:val="32"/>
          <w:szCs w:val="32"/>
          <w:highlight w:val="none"/>
        </w:rPr>
        <w:t>海口江东新区管理局内设</w:t>
      </w:r>
      <w:r>
        <w:rPr>
          <w:rFonts w:hint="eastAsia" w:ascii="仿宋_GB2312" w:hAnsi="ˎ̥" w:eastAsia="仿宋_GB2312" w:cs="Times New Roman"/>
          <w:color w:val="auto"/>
          <w:sz w:val="32"/>
          <w:szCs w:val="32"/>
          <w:highlight w:val="none"/>
          <w:lang w:val="en-US" w:eastAsia="zh-CN"/>
        </w:rPr>
        <w:t>6</w:t>
      </w:r>
      <w:r>
        <w:rPr>
          <w:rFonts w:hint="eastAsia" w:ascii="仿宋_GB2312" w:hAnsi="ˎ̥" w:eastAsia="仿宋_GB2312" w:cs="Times New Roman"/>
          <w:color w:val="auto"/>
          <w:sz w:val="32"/>
          <w:szCs w:val="32"/>
          <w:highlight w:val="none"/>
        </w:rPr>
        <w:t>个部门，分别是</w:t>
      </w:r>
      <w:r>
        <w:rPr>
          <w:rFonts w:hint="eastAsia" w:ascii="仿宋_GB2312" w:hAnsi="仿宋" w:eastAsia="仿宋_GB2312"/>
          <w:color w:val="auto"/>
          <w:sz w:val="32"/>
          <w:szCs w:val="32"/>
          <w:highlight w:val="none"/>
          <w:lang w:val="en-US" w:eastAsia="zh-CN"/>
        </w:rPr>
        <w:t>产业发展局、综合管理部、规划统筹部、建设统筹部、财务审计部、营商环境部。</w:t>
      </w:r>
    </w:p>
    <w:p w14:paraId="7649BFA8">
      <w:pPr>
        <w:spacing w:line="578" w:lineRule="exact"/>
        <w:jc w:val="center"/>
        <w:rPr>
          <w:rFonts w:hint="eastAsia" w:ascii="黑体" w:hAnsi="ˎ̥" w:eastAsia="黑体"/>
          <w:color w:val="auto"/>
          <w:sz w:val="32"/>
          <w:szCs w:val="32"/>
        </w:rPr>
      </w:pPr>
    </w:p>
    <w:p w14:paraId="5ABA64D5">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年度部门决算公开报表</w:t>
      </w:r>
      <w:bookmarkEnd w:id="19"/>
      <w:bookmarkEnd w:id="20"/>
      <w:bookmarkEnd w:id="21"/>
      <w:bookmarkEnd w:id="22"/>
      <w:bookmarkEnd w:id="23"/>
      <w:bookmarkEnd w:id="24"/>
    </w:p>
    <w:p w14:paraId="1A7D1292">
      <w:pPr>
        <w:spacing w:line="578" w:lineRule="exact"/>
        <w:ind w:firstLine="645"/>
        <w:rPr>
          <w:rFonts w:hint="eastAsia" w:ascii="黑体" w:hAnsi="黑体" w:eastAsia="黑体" w:cs="黑体"/>
          <w:color w:val="auto"/>
          <w:sz w:val="32"/>
          <w:szCs w:val="32"/>
        </w:rPr>
      </w:pPr>
    </w:p>
    <w:p w14:paraId="4609FEC3">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一、收入支出决算公开表</w:t>
      </w:r>
      <w:bookmarkEnd w:id="25"/>
      <w:bookmarkEnd w:id="26"/>
      <w:bookmarkEnd w:id="27"/>
      <w:bookmarkEnd w:id="28"/>
      <w:bookmarkEnd w:id="29"/>
      <w:bookmarkEnd w:id="30"/>
    </w:p>
    <w:p w14:paraId="646AEC68">
      <w:pPr>
        <w:spacing w:line="578" w:lineRule="exact"/>
        <w:ind w:firstLine="645"/>
        <w:rPr>
          <w:rFonts w:hint="eastAsia" w:ascii="黑体" w:hAnsi="黑体" w:eastAsia="黑体" w:cs="黑体"/>
          <w:color w:val="auto"/>
          <w:sz w:val="32"/>
          <w:szCs w:val="32"/>
        </w:rPr>
      </w:pPr>
      <w:bookmarkStart w:id="31" w:name="_Toc30334_WPSOffice_Level2"/>
      <w:bookmarkStart w:id="32" w:name="_Toc26621_WPSOffice_Level2"/>
      <w:bookmarkStart w:id="33" w:name="_Toc25608_WPSOffice_Level2"/>
      <w:bookmarkStart w:id="34" w:name="_Toc14349_WPSOffice_Level2"/>
      <w:bookmarkStart w:id="35" w:name="_Toc23139_WPSOffice_Level2"/>
      <w:bookmarkStart w:id="36" w:name="_Toc28622_WPSOffice_Level2"/>
      <w:r>
        <w:rPr>
          <w:rFonts w:hint="eastAsia" w:ascii="黑体" w:hAnsi="黑体" w:eastAsia="黑体" w:cs="黑体"/>
          <w:color w:val="auto"/>
          <w:sz w:val="32"/>
          <w:szCs w:val="32"/>
        </w:rPr>
        <w:t>二、收入决算公开表</w:t>
      </w:r>
      <w:bookmarkEnd w:id="31"/>
      <w:bookmarkEnd w:id="32"/>
      <w:bookmarkEnd w:id="33"/>
      <w:bookmarkEnd w:id="34"/>
      <w:bookmarkEnd w:id="35"/>
      <w:bookmarkEnd w:id="36"/>
      <w:bookmarkStart w:id="37" w:name="_Toc5489_WPSOffice_Level2"/>
      <w:bookmarkStart w:id="38" w:name="_Toc14658_WPSOffice_Level2"/>
      <w:bookmarkStart w:id="39" w:name="_Toc13854_WPSOffice_Level2"/>
      <w:bookmarkStart w:id="40" w:name="_Toc17626_WPSOffice_Level2"/>
      <w:bookmarkStart w:id="41" w:name="_Toc17858_WPSOffice_Level2"/>
      <w:bookmarkStart w:id="42" w:name="_Toc3262_WPSOffice_Level2"/>
    </w:p>
    <w:p w14:paraId="2D43FEAF">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三、支出决算公开表</w:t>
      </w:r>
      <w:bookmarkEnd w:id="37"/>
      <w:bookmarkEnd w:id="38"/>
      <w:bookmarkEnd w:id="39"/>
      <w:bookmarkEnd w:id="40"/>
      <w:bookmarkEnd w:id="41"/>
      <w:bookmarkEnd w:id="42"/>
      <w:bookmarkStart w:id="43" w:name="_Toc21415_WPSOffice_Level2"/>
      <w:bookmarkStart w:id="44" w:name="_Toc13701_WPSOffice_Level2"/>
      <w:bookmarkStart w:id="45" w:name="_Toc4265_WPSOffice_Level2"/>
      <w:bookmarkStart w:id="46" w:name="_Toc23493_WPSOffice_Level2"/>
      <w:bookmarkStart w:id="47" w:name="_Toc23591_WPSOffice_Level2"/>
      <w:bookmarkStart w:id="48" w:name="_Toc7988_WPSOffice_Level2"/>
    </w:p>
    <w:p w14:paraId="466CE0B2">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四、财政拨款收入支出决算公开表</w:t>
      </w:r>
      <w:bookmarkEnd w:id="43"/>
      <w:bookmarkEnd w:id="44"/>
      <w:bookmarkEnd w:id="45"/>
      <w:bookmarkEnd w:id="46"/>
      <w:bookmarkEnd w:id="47"/>
      <w:bookmarkEnd w:id="48"/>
    </w:p>
    <w:p w14:paraId="1CA1AAB7">
      <w:pPr>
        <w:spacing w:line="578" w:lineRule="exact"/>
        <w:ind w:firstLine="645"/>
        <w:rPr>
          <w:rFonts w:hint="eastAsia" w:ascii="黑体" w:hAnsi="黑体" w:eastAsia="黑体" w:cs="黑体"/>
          <w:color w:val="auto"/>
          <w:sz w:val="32"/>
          <w:szCs w:val="32"/>
        </w:rPr>
      </w:pPr>
      <w:bookmarkStart w:id="49" w:name="_Toc25166_WPSOffice_Level2"/>
      <w:bookmarkStart w:id="50" w:name="_Toc23829_WPSOffice_Level2"/>
      <w:bookmarkStart w:id="51" w:name="_Toc22783_WPSOffice_Level2"/>
      <w:bookmarkStart w:id="52" w:name="_Toc7879_WPSOffice_Level2"/>
      <w:bookmarkStart w:id="53" w:name="_Toc2158_WPSOffice_Level2"/>
      <w:bookmarkStart w:id="54" w:name="_Toc13516_WPSOffice_Level2"/>
      <w:r>
        <w:rPr>
          <w:rFonts w:hint="eastAsia" w:ascii="黑体" w:hAnsi="黑体" w:eastAsia="黑体" w:cs="黑体"/>
          <w:color w:val="auto"/>
          <w:sz w:val="32"/>
          <w:szCs w:val="32"/>
        </w:rPr>
        <w:t>五、一般公共预算财政拨款收入支出决算</w:t>
      </w:r>
      <w:bookmarkEnd w:id="49"/>
      <w:bookmarkEnd w:id="50"/>
      <w:bookmarkEnd w:id="51"/>
      <w:bookmarkEnd w:id="52"/>
      <w:r>
        <w:rPr>
          <w:rFonts w:hint="eastAsia" w:ascii="黑体" w:hAnsi="黑体" w:eastAsia="黑体" w:cs="黑体"/>
          <w:color w:val="auto"/>
          <w:sz w:val="32"/>
          <w:szCs w:val="32"/>
        </w:rPr>
        <w:t>公开表</w:t>
      </w:r>
      <w:bookmarkEnd w:id="53"/>
      <w:bookmarkEnd w:id="54"/>
      <w:bookmarkStart w:id="55" w:name="_Toc8373_WPSOffice_Level2"/>
      <w:bookmarkStart w:id="56" w:name="_Toc17833_WPSOffice_Level2"/>
      <w:bookmarkStart w:id="57" w:name="_Toc17283_WPSOffice_Level2"/>
      <w:bookmarkStart w:id="58" w:name="_Toc5343_WPSOffice_Level2"/>
      <w:bookmarkStart w:id="59" w:name="_Toc2632_WPSOffice_Level2"/>
      <w:bookmarkStart w:id="60" w:name="_Toc25362_WPSOffice_Level2"/>
    </w:p>
    <w:p w14:paraId="163493D2">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color w:val="auto"/>
          <w:sz w:val="32"/>
          <w:szCs w:val="32"/>
        </w:rPr>
        <w:t>公开表</w:t>
      </w:r>
    </w:p>
    <w:p w14:paraId="11250B0D">
      <w:pPr>
        <w:spacing w:line="578" w:lineRule="exact"/>
        <w:ind w:left="1118" w:leftChars="304" w:hanging="480" w:hangingChars="150"/>
        <w:rPr>
          <w:rFonts w:hint="eastAsia" w:ascii="黑体" w:hAnsi="黑体" w:eastAsia="黑体" w:cs="黑体"/>
          <w:color w:val="auto"/>
          <w:sz w:val="32"/>
          <w:szCs w:val="32"/>
        </w:rPr>
      </w:pPr>
      <w:bookmarkStart w:id="61" w:name="_Toc5594_WPSOffice_Level2"/>
      <w:bookmarkStart w:id="62" w:name="_Toc13345_WPSOffice_Level2"/>
      <w:bookmarkStart w:id="63" w:name="_Toc21310_WPSOffice_Level2"/>
      <w:bookmarkStart w:id="64" w:name="_Toc6020_WPSOffice_Level2"/>
      <w:bookmarkStart w:id="65" w:name="_Toc11799_WPSOffice_Level2"/>
      <w:bookmarkStart w:id="66" w:name="_Toc1533_WPSOffice_Level2"/>
      <w:r>
        <w:rPr>
          <w:rFonts w:hint="eastAsia" w:ascii="黑体" w:hAnsi="黑体" w:eastAsia="黑体" w:cs="黑体"/>
          <w:color w:val="auto"/>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color w:val="auto"/>
          <w:sz w:val="32"/>
          <w:szCs w:val="32"/>
        </w:rPr>
        <w:t>公开表</w:t>
      </w:r>
    </w:p>
    <w:p w14:paraId="33B6C1DC">
      <w:pPr>
        <w:spacing w:line="578" w:lineRule="exact"/>
        <w:ind w:left="1118" w:leftChars="304" w:hanging="480" w:hangingChars="150"/>
        <w:rPr>
          <w:rFonts w:hint="eastAsia" w:ascii="黑体" w:hAnsi="黑体" w:eastAsia="黑体" w:cs="黑体"/>
          <w:color w:val="auto"/>
          <w:sz w:val="32"/>
          <w:szCs w:val="32"/>
        </w:rPr>
      </w:pPr>
      <w:r>
        <w:rPr>
          <w:rFonts w:hint="eastAsia" w:ascii="黑体" w:hAnsi="黑体" w:eastAsia="黑体" w:cs="黑体"/>
          <w:color w:val="auto"/>
          <w:sz w:val="32"/>
          <w:szCs w:val="32"/>
        </w:rPr>
        <w:t>八、国有资本经营预算财政拨款收入支出决算公开表</w:t>
      </w:r>
    </w:p>
    <w:p w14:paraId="6225979D">
      <w:pPr>
        <w:spacing w:line="578" w:lineRule="exact"/>
        <w:ind w:firstLine="640"/>
        <w:rPr>
          <w:rFonts w:hint="eastAsia" w:ascii="黑体" w:hAnsi="黑体" w:eastAsia="黑体" w:cs="黑体"/>
          <w:color w:val="auto"/>
          <w:sz w:val="32"/>
          <w:szCs w:val="32"/>
        </w:rPr>
      </w:pPr>
      <w:bookmarkStart w:id="67" w:name="_Toc19961_WPSOffice_Level2"/>
      <w:bookmarkStart w:id="68" w:name="_Toc9377_WPSOffice_Level2"/>
      <w:bookmarkStart w:id="69" w:name="_Toc29886_WPSOffice_Level2"/>
      <w:bookmarkStart w:id="70" w:name="_Toc1820_WPSOffice_Level2"/>
      <w:r>
        <w:rPr>
          <w:rFonts w:hint="eastAsia" w:ascii="黑体" w:hAnsi="黑体" w:eastAsia="黑体" w:cs="黑体"/>
          <w:color w:val="auto"/>
          <w:sz w:val="32"/>
          <w:szCs w:val="32"/>
        </w:rPr>
        <w:t>九、财政拨款“三公”经费支出决算</w:t>
      </w:r>
      <w:bookmarkEnd w:id="67"/>
      <w:bookmarkEnd w:id="68"/>
      <w:bookmarkEnd w:id="69"/>
      <w:bookmarkEnd w:id="70"/>
      <w:r>
        <w:rPr>
          <w:rFonts w:hint="eastAsia" w:ascii="黑体" w:hAnsi="黑体" w:eastAsia="黑体" w:cs="黑体"/>
          <w:color w:val="auto"/>
          <w:sz w:val="32"/>
          <w:szCs w:val="32"/>
        </w:rPr>
        <w:t>公开表</w:t>
      </w:r>
    </w:p>
    <w:p w14:paraId="752E8721">
      <w:pPr>
        <w:spacing w:line="578" w:lineRule="exact"/>
        <w:ind w:firstLine="640"/>
        <w:rPr>
          <w:rFonts w:hint="eastAsia" w:ascii="仿宋" w:hAnsi="仿宋" w:eastAsia="仿宋" w:cs="仿宋"/>
          <w:color w:val="auto"/>
          <w:w w:val="100"/>
          <w:sz w:val="32"/>
          <w:szCs w:val="32"/>
        </w:rPr>
      </w:pPr>
      <w:r>
        <w:rPr>
          <w:rFonts w:hint="eastAsia" w:ascii="仿宋" w:hAnsi="仿宋" w:eastAsia="仿宋" w:cs="仿宋"/>
          <w:color w:val="auto"/>
          <w:w w:val="100"/>
          <w:sz w:val="32"/>
          <w:szCs w:val="32"/>
        </w:rPr>
        <w:t xml:space="preserve">以上报表见附件1。   </w:t>
      </w:r>
    </w:p>
    <w:p w14:paraId="5B482E07">
      <w:pPr>
        <w:spacing w:line="578" w:lineRule="exact"/>
        <w:rPr>
          <w:rFonts w:hint="eastAsia" w:ascii="黑体" w:hAnsi="黑体" w:eastAsia="黑体" w:cs="黑体"/>
          <w:color w:val="auto"/>
          <w:sz w:val="32"/>
          <w:szCs w:val="32"/>
        </w:rPr>
      </w:pPr>
    </w:p>
    <w:p w14:paraId="23229CB8">
      <w:pPr>
        <w:spacing w:line="578" w:lineRule="exact"/>
        <w:jc w:val="center"/>
        <w:rPr>
          <w:rFonts w:hint="eastAsia" w:ascii="黑体" w:hAnsi="ˎ̥" w:eastAsia="黑体"/>
          <w:color w:val="auto"/>
          <w:sz w:val="32"/>
          <w:szCs w:val="32"/>
        </w:rPr>
      </w:pPr>
      <w:bookmarkStart w:id="71" w:name="_Toc4402_WPSOffice_Level1"/>
      <w:bookmarkStart w:id="72" w:name="_Toc28629_WPSOffice_Level1"/>
      <w:bookmarkStart w:id="73" w:name="_Toc27590_WPSOffice_Level1"/>
      <w:bookmarkStart w:id="74" w:name="_Toc29683_WPSOffice_Level1"/>
      <w:bookmarkStart w:id="75" w:name="_Toc31264_WPSOffice_Level1"/>
      <w:bookmarkStart w:id="76" w:name="_Toc16686_WPSOffice_Level1"/>
    </w:p>
    <w:p w14:paraId="31BF6332">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第三部分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bookmarkEnd w:id="71"/>
      <w:bookmarkEnd w:id="72"/>
      <w:bookmarkEnd w:id="73"/>
      <w:bookmarkEnd w:id="74"/>
      <w:bookmarkEnd w:id="75"/>
      <w:bookmarkEnd w:id="76"/>
    </w:p>
    <w:p w14:paraId="0108672B">
      <w:pPr>
        <w:spacing w:line="578" w:lineRule="exact"/>
        <w:jc w:val="center"/>
        <w:rPr>
          <w:rFonts w:hint="eastAsia" w:ascii="黑体" w:hAnsi="ˎ̥" w:eastAsia="黑体"/>
          <w:color w:val="auto"/>
          <w:sz w:val="32"/>
          <w:szCs w:val="32"/>
        </w:rPr>
      </w:pPr>
    </w:p>
    <w:p w14:paraId="594A6C42">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收入支出总体情况说明</w:t>
      </w:r>
    </w:p>
    <w:p w14:paraId="003E37A3">
      <w:pPr>
        <w:keepNext w:val="0"/>
        <w:keepLines w:val="0"/>
        <w:pageBreakBefore w:val="0"/>
        <w:kinsoku/>
        <w:wordWrap/>
        <w:overflowPunct/>
        <w:autoSpaceDN/>
        <w:bidi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年度收入总计</w:t>
      </w:r>
      <w:r>
        <w:rPr>
          <w:rFonts w:hint="eastAsia" w:ascii="仿宋" w:hAnsi="仿宋" w:eastAsia="仿宋" w:cs="仿宋"/>
          <w:color w:val="auto"/>
          <w:sz w:val="32"/>
          <w:szCs w:val="32"/>
          <w:lang w:val="en-US"/>
        </w:rPr>
        <w:t>481,011.88</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481,011.88</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年度相比，收入、支出总计各减少</w:t>
      </w:r>
      <w:r>
        <w:rPr>
          <w:rFonts w:hint="eastAsia" w:ascii="仿宋" w:hAnsi="仿宋" w:eastAsia="仿宋" w:cs="仿宋"/>
          <w:color w:val="auto"/>
          <w:sz w:val="32"/>
          <w:szCs w:val="32"/>
          <w:lang w:val="en-US"/>
        </w:rPr>
        <w:t>715</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388.58</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59.8</w:t>
      </w:r>
      <w:r>
        <w:rPr>
          <w:rFonts w:hint="eastAsia" w:ascii="仿宋" w:hAnsi="仿宋" w:eastAsia="仿宋" w:cs="仿宋"/>
          <w:color w:val="auto"/>
          <w:sz w:val="32"/>
          <w:szCs w:val="32"/>
        </w:rPr>
        <w:t>%。主要原因</w:t>
      </w:r>
      <w:r>
        <w:rPr>
          <w:rFonts w:hint="eastAsia" w:ascii="仿宋_GB2312" w:hAnsi="仿宋" w:eastAsia="仿宋_GB2312"/>
          <w:color w:val="auto"/>
          <w:sz w:val="32"/>
          <w:szCs w:val="32"/>
          <w:lang w:val="en-US" w:eastAsia="zh-CN"/>
        </w:rPr>
        <w:t>2025年政府投资项目投资额降低，收支减少。</w:t>
      </w:r>
    </w:p>
    <w:p w14:paraId="05B8AF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auto"/>
          <w:sz w:val="32"/>
          <w:szCs w:val="32"/>
        </w:rPr>
      </w:pPr>
      <w:r>
        <w:rPr>
          <w:rFonts w:hint="eastAsia" w:ascii="楷体" w:hAnsi="楷体" w:eastAsia="楷体" w:cs="楷体"/>
          <w:color w:val="auto"/>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14:paraId="596A4F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467,313.29</w:t>
      </w:r>
      <w:r>
        <w:rPr>
          <w:rFonts w:hint="eastAsia" w:ascii="仿宋" w:hAnsi="仿宋" w:eastAsia="仿宋" w:cs="仿宋"/>
          <w:color w:val="auto"/>
          <w:sz w:val="32"/>
          <w:szCs w:val="32"/>
        </w:rPr>
        <w:t>万元。</w:t>
      </w:r>
    </w:p>
    <w:p w14:paraId="5B2819ED">
      <w:pPr>
        <w:keepNext w:val="0"/>
        <w:keepLines w:val="0"/>
        <w:pageBreakBefore w:val="0"/>
        <w:kinsoku/>
        <w:wordWrap/>
        <w:overflowPunct/>
        <w:autoSpaceDN/>
        <w:bidi w:val="0"/>
        <w:snapToGrid w:val="0"/>
        <w:spacing w:line="560" w:lineRule="exact"/>
        <w:ind w:firstLine="640" w:firstLineChars="200"/>
        <w:rPr>
          <w:rFonts w:ascii="仿宋_GB2312" w:hAnsi="ˎ̥" w:eastAsia="仿宋_GB2312"/>
          <w:color w:val="auto"/>
          <w:sz w:val="32"/>
          <w:szCs w:val="32"/>
        </w:rPr>
      </w:pPr>
      <w:r>
        <w:rPr>
          <w:rFonts w:hint="eastAsia" w:ascii="仿宋" w:hAnsi="仿宋" w:eastAsia="仿宋" w:cs="仿宋"/>
          <w:color w:val="auto"/>
          <w:sz w:val="32"/>
          <w:szCs w:val="32"/>
        </w:rPr>
        <w:t>使用非财政拨款结余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_GB2312" w:hAnsi="ˎ̥" w:eastAsia="仿宋_GB2312"/>
          <w:color w:val="auto"/>
          <w:sz w:val="32"/>
          <w:szCs w:val="32"/>
          <w:highlight w:val="none"/>
          <w:lang w:val="en-US" w:eastAsia="zh-CN"/>
        </w:rPr>
        <w:t>与2024年度决算数持平</w:t>
      </w:r>
      <w:r>
        <w:rPr>
          <w:rFonts w:hint="eastAsia" w:ascii="仿宋_GB2312" w:hAnsi="ˎ̥" w:eastAsia="仿宋_GB2312"/>
          <w:color w:val="auto"/>
          <w:sz w:val="32"/>
          <w:szCs w:val="32"/>
          <w:highlight w:val="none"/>
        </w:rPr>
        <w:t>。</w:t>
      </w: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13,698.59</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rPr>
        <w:t>12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572.02</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1115.96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2025年美兰区根据审计要求退回我局无法按时支出的以前年度专项债资金</w:t>
      </w:r>
      <w:r>
        <w:rPr>
          <w:rFonts w:hint="eastAsia" w:ascii="仿宋" w:hAnsi="仿宋" w:eastAsia="仿宋" w:cs="仿宋"/>
          <w:color w:val="auto"/>
          <w:sz w:val="32"/>
          <w:szCs w:val="32"/>
        </w:rPr>
        <w:t>。</w:t>
      </w:r>
    </w:p>
    <w:p w14:paraId="74FADF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（二</w:t>
      </w:r>
      <w:r>
        <w:rPr>
          <w:rFonts w:ascii="楷体" w:hAnsi="楷体" w:eastAsia="楷体" w:cs="楷体"/>
          <w:color w:val="auto"/>
          <w:sz w:val="32"/>
          <w:szCs w:val="32"/>
        </w:rPr>
        <w:t>）</w:t>
      </w:r>
      <w:r>
        <w:rPr>
          <w:rFonts w:hint="eastAsia" w:ascii="楷体" w:hAnsi="楷体" w:eastAsia="楷体" w:cs="楷体"/>
          <w:color w:val="auto"/>
          <w:sz w:val="32"/>
          <w:szCs w:val="32"/>
        </w:rPr>
        <w:t>支出</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14:paraId="788E8B0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473,152.90</w:t>
      </w:r>
      <w:r>
        <w:rPr>
          <w:rFonts w:hint="eastAsia" w:ascii="仿宋" w:hAnsi="仿宋" w:eastAsia="仿宋" w:cs="仿宋"/>
          <w:color w:val="auto"/>
          <w:sz w:val="32"/>
          <w:szCs w:val="32"/>
        </w:rPr>
        <w:t>万元。</w:t>
      </w:r>
    </w:p>
    <w:p w14:paraId="382684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_GB2312" w:hAnsi="ˎ̥" w:eastAsia="仿宋_GB2312"/>
          <w:color w:val="auto"/>
          <w:sz w:val="32"/>
          <w:szCs w:val="32"/>
          <w:highlight w:val="none"/>
          <w:lang w:val="en-US" w:eastAsia="zh-CN"/>
        </w:rPr>
        <w:t>与2024年度决算数持平</w:t>
      </w:r>
      <w:r>
        <w:rPr>
          <w:rFonts w:hint="eastAsia" w:ascii="仿宋" w:hAnsi="仿宋" w:eastAsia="仿宋" w:cs="仿宋"/>
          <w:color w:val="auto"/>
          <w:sz w:val="32"/>
          <w:szCs w:val="32"/>
        </w:rPr>
        <w:t>。</w:t>
      </w:r>
    </w:p>
    <w:p w14:paraId="33C8A050">
      <w:pPr>
        <w:keepNext w:val="0"/>
        <w:keepLines w:val="0"/>
        <w:pageBreakBefore w:val="0"/>
        <w:kinsoku/>
        <w:wordWrap/>
        <w:overflowPunct/>
        <w:autoSpaceDN/>
        <w:bidi w:val="0"/>
        <w:snapToGrid w:val="0"/>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7,858.98</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rPr>
        <w:t>7851.33</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102631.76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美兰区退回基本户的征拆资金在2025年底尚未完全支出</w:t>
      </w:r>
      <w:r>
        <w:rPr>
          <w:rFonts w:hint="eastAsia" w:ascii="仿宋" w:hAnsi="仿宋" w:eastAsia="仿宋" w:cs="仿宋"/>
          <w:color w:val="auto"/>
          <w:sz w:val="32"/>
          <w:szCs w:val="32"/>
        </w:rPr>
        <w:t>。</w:t>
      </w:r>
    </w:p>
    <w:p w14:paraId="33E404A0">
      <w:pPr>
        <w:pStyle w:val="2"/>
        <w:rPr>
          <w:rFonts w:hint="eastAsia"/>
        </w:rPr>
      </w:pPr>
    </w:p>
    <w:p w14:paraId="1CA2D923">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收入决算情况说明</w:t>
      </w:r>
    </w:p>
    <w:p w14:paraId="0F317C3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467,313.29</w:t>
      </w:r>
      <w:r>
        <w:rPr>
          <w:rFonts w:hint="eastAsia" w:ascii="仿宋" w:hAnsi="仿宋" w:eastAsia="仿宋" w:cs="仿宋"/>
          <w:color w:val="auto"/>
          <w:sz w:val="32"/>
          <w:szCs w:val="32"/>
        </w:rPr>
        <w:t>万元，其中：财政拨款收入</w:t>
      </w:r>
      <w:r>
        <w:rPr>
          <w:rFonts w:hint="eastAsia" w:ascii="仿宋" w:hAnsi="仿宋" w:eastAsia="仿宋" w:cs="仿宋"/>
          <w:color w:val="auto"/>
          <w:sz w:val="32"/>
          <w:szCs w:val="32"/>
          <w:lang w:val="en-US"/>
        </w:rPr>
        <w:t>467,313.29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5FA86A47">
      <w:pPr>
        <w:pStyle w:val="2"/>
        <w:rPr>
          <w:rFonts w:hint="eastAsia" w:ascii="仿宋" w:hAnsi="仿宋" w:eastAsia="仿宋" w:cs="仿宋"/>
          <w:color w:val="auto"/>
          <w:sz w:val="32"/>
          <w:szCs w:val="32"/>
        </w:rPr>
      </w:pPr>
    </w:p>
    <w:p w14:paraId="5FF693E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三、支出决算情况说明</w:t>
      </w:r>
    </w:p>
    <w:p w14:paraId="294101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473,152.90</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0.42</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0.00009</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473,152.4</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99.99991</w:t>
      </w:r>
      <w:r>
        <w:rPr>
          <w:rFonts w:hint="eastAsia" w:ascii="仿宋" w:hAnsi="仿宋" w:eastAsia="仿宋" w:cs="仿宋"/>
          <w:color w:val="auto"/>
          <w:sz w:val="32"/>
          <w:szCs w:val="32"/>
        </w:rPr>
        <w:t>%。</w:t>
      </w:r>
    </w:p>
    <w:p w14:paraId="5DBDFF93">
      <w:pPr>
        <w:pStyle w:val="2"/>
        <w:rPr>
          <w:rFonts w:hint="eastAsia"/>
        </w:rPr>
      </w:pPr>
    </w:p>
    <w:p w14:paraId="6EA146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四、财政拨款收入支出决算总体情况说明</w:t>
      </w:r>
    </w:p>
    <w:p w14:paraId="3CD7D434">
      <w:pPr>
        <w:keepNext w:val="0"/>
        <w:keepLines w:val="0"/>
        <w:pageBreakBefore w:val="0"/>
        <w:kinsoku/>
        <w:wordWrap/>
        <w:overflowPunct/>
        <w:autoSpaceDN/>
        <w:bidi w:val="0"/>
        <w:snapToGrid w:val="0"/>
        <w:spacing w:line="56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年度财政拨款收入</w:t>
      </w:r>
      <w:r>
        <w:rPr>
          <w:rFonts w:hint="eastAsia" w:ascii="仿宋" w:hAnsi="仿宋" w:eastAsia="仿宋" w:cs="仿宋"/>
          <w:color w:val="auto"/>
          <w:sz w:val="32"/>
          <w:szCs w:val="32"/>
          <w:lang w:val="en-US"/>
        </w:rPr>
        <w:t>467,313.29</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473,152.90</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年度相比，财政拨款收入减少</w:t>
      </w:r>
      <w:r>
        <w:rPr>
          <w:rFonts w:hint="eastAsia" w:ascii="仿宋" w:hAnsi="仿宋" w:eastAsia="仿宋" w:cs="仿宋"/>
          <w:color w:val="auto"/>
          <w:sz w:val="32"/>
          <w:szCs w:val="32"/>
          <w:lang w:val="en-US"/>
        </w:rPr>
        <w:t>727</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957.3</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60.9</w:t>
      </w:r>
      <w:r>
        <w:rPr>
          <w:rFonts w:hint="eastAsia" w:ascii="仿宋" w:hAnsi="仿宋" w:eastAsia="仿宋" w:cs="仿宋"/>
          <w:color w:val="auto"/>
          <w:sz w:val="32"/>
          <w:szCs w:val="32"/>
        </w:rPr>
        <w:t>%，主要原因</w:t>
      </w:r>
      <w:r>
        <w:rPr>
          <w:rFonts w:hint="eastAsia" w:ascii="仿宋" w:hAnsi="仿宋" w:eastAsia="仿宋" w:cs="仿宋"/>
          <w:color w:val="auto"/>
          <w:sz w:val="32"/>
          <w:szCs w:val="32"/>
          <w:lang w:val="en-US" w:eastAsia="zh-CN"/>
        </w:rPr>
        <w:t>是</w:t>
      </w:r>
      <w:r>
        <w:rPr>
          <w:rFonts w:hint="eastAsia" w:ascii="仿宋_GB2312" w:hAnsi="仿宋" w:eastAsia="仿宋_GB2312"/>
          <w:color w:val="auto"/>
          <w:sz w:val="32"/>
          <w:szCs w:val="32"/>
          <w:lang w:val="en-US" w:eastAsia="zh-CN"/>
        </w:rPr>
        <w:t>2025年政府投资项目投资额降低，预算减少</w:t>
      </w:r>
      <w:r>
        <w:rPr>
          <w:rFonts w:hint="eastAsia" w:ascii="仿宋" w:hAnsi="仿宋" w:eastAsia="仿宋" w:cs="仿宋"/>
          <w:color w:val="auto"/>
          <w:sz w:val="32"/>
          <w:szCs w:val="32"/>
        </w:rPr>
        <w:t>。支出减少723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239.91万元，下降</w:t>
      </w:r>
      <w:r>
        <w:rPr>
          <w:rFonts w:hint="eastAsia" w:ascii="仿宋" w:hAnsi="仿宋" w:eastAsia="仿宋" w:cs="仿宋"/>
          <w:color w:val="auto"/>
          <w:sz w:val="32"/>
          <w:szCs w:val="32"/>
          <w:lang w:val="en-US" w:eastAsia="zh-CN"/>
        </w:rPr>
        <w:t>60.45</w:t>
      </w:r>
      <w:r>
        <w:rPr>
          <w:rFonts w:hint="eastAsia" w:ascii="仿宋" w:hAnsi="仿宋" w:eastAsia="仿宋" w:cs="仿宋"/>
          <w:color w:val="auto"/>
          <w:sz w:val="32"/>
          <w:szCs w:val="32"/>
        </w:rPr>
        <w:t>%，主要原因</w:t>
      </w:r>
      <w:r>
        <w:rPr>
          <w:rFonts w:hint="eastAsia" w:ascii="仿宋" w:hAnsi="仿宋" w:eastAsia="仿宋" w:cs="仿宋"/>
          <w:color w:val="auto"/>
          <w:sz w:val="32"/>
          <w:szCs w:val="32"/>
          <w:lang w:val="en-US" w:eastAsia="zh-CN"/>
        </w:rPr>
        <w:t>是</w:t>
      </w:r>
      <w:r>
        <w:rPr>
          <w:rFonts w:hint="eastAsia" w:ascii="仿宋_GB2312" w:hAnsi="仿宋" w:eastAsia="仿宋_GB2312"/>
          <w:color w:val="auto"/>
          <w:sz w:val="32"/>
          <w:szCs w:val="32"/>
          <w:lang w:val="en-US" w:eastAsia="zh-CN"/>
        </w:rPr>
        <w:t>2025年政府投资项目投资额降低，支出减少</w:t>
      </w:r>
      <w:r>
        <w:rPr>
          <w:rFonts w:hint="eastAsia" w:ascii="仿宋" w:hAnsi="仿宋" w:eastAsia="仿宋" w:cs="仿宋"/>
          <w:color w:val="auto"/>
          <w:sz w:val="32"/>
          <w:szCs w:val="32"/>
        </w:rPr>
        <w:t>。</w:t>
      </w:r>
      <w:bookmarkStart w:id="119" w:name="_GoBack"/>
      <w:bookmarkEnd w:id="119"/>
    </w:p>
    <w:p w14:paraId="2F281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财政拨款年初结转结余</w:t>
      </w:r>
      <w:r>
        <w:rPr>
          <w:rFonts w:hint="eastAsia" w:ascii="仿宋" w:hAnsi="仿宋" w:eastAsia="仿宋" w:cs="仿宋"/>
          <w:color w:val="auto"/>
          <w:sz w:val="32"/>
          <w:szCs w:val="32"/>
          <w:lang w:val="en-US"/>
        </w:rPr>
        <w:t>13,694.24</w:t>
      </w:r>
      <w:r>
        <w:rPr>
          <w:rFonts w:hint="eastAsia" w:ascii="仿宋" w:hAnsi="仿宋" w:eastAsia="仿宋" w:cs="仿宋"/>
          <w:color w:val="auto"/>
          <w:sz w:val="32"/>
          <w:szCs w:val="32"/>
        </w:rPr>
        <w:t>万元，主要是</w:t>
      </w:r>
      <w:r>
        <w:rPr>
          <w:rFonts w:hint="eastAsia" w:ascii="仿宋_GB2312" w:hAnsi="ˎ̥" w:eastAsia="仿宋_GB2312"/>
          <w:color w:val="auto"/>
          <w:sz w:val="32"/>
          <w:szCs w:val="32"/>
          <w:lang w:val="en-US" w:eastAsia="zh-CN"/>
        </w:rPr>
        <w:t>美兰区退回基本户的征拆款</w:t>
      </w:r>
      <w:r>
        <w:rPr>
          <w:rFonts w:hint="eastAsia" w:ascii="仿宋" w:hAnsi="仿宋" w:eastAsia="仿宋" w:cs="仿宋"/>
          <w:color w:val="auto"/>
          <w:sz w:val="32"/>
          <w:szCs w:val="32"/>
        </w:rPr>
        <w:t>，较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rPr>
        <w:t>12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572.03</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1120.29</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2025年底美兰区根据审计要求退回我局无法按时支出的以前年度专项债资金</w:t>
      </w:r>
      <w:r>
        <w:rPr>
          <w:rFonts w:hint="eastAsia" w:ascii="仿宋" w:hAnsi="仿宋" w:eastAsia="仿宋" w:cs="仿宋"/>
          <w:color w:val="auto"/>
          <w:sz w:val="32"/>
          <w:szCs w:val="32"/>
        </w:rPr>
        <w:t>。</w:t>
      </w:r>
    </w:p>
    <w:p w14:paraId="604B142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7,854.63</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rPr>
        <w:t>7,854.63</w:t>
      </w:r>
      <w:r>
        <w:rPr>
          <w:rFonts w:hint="eastAsia" w:ascii="仿宋" w:hAnsi="仿宋" w:eastAsia="仿宋" w:cs="仿宋"/>
          <w:color w:val="auto"/>
          <w:sz w:val="32"/>
          <w:szCs w:val="32"/>
        </w:rPr>
        <w:t>万元，主要原因是</w:t>
      </w:r>
      <w:r>
        <w:rPr>
          <w:rFonts w:hint="eastAsia" w:ascii="仿宋" w:hAnsi="仿宋" w:eastAsia="仿宋" w:cs="仿宋"/>
          <w:color w:val="auto"/>
          <w:sz w:val="32"/>
          <w:szCs w:val="32"/>
          <w:lang w:val="en-US" w:eastAsia="zh-CN"/>
        </w:rPr>
        <w:t>美兰区退回基本户的征拆资金在2025年底尚未完全支出</w:t>
      </w:r>
      <w:r>
        <w:rPr>
          <w:rFonts w:hint="eastAsia" w:ascii="仿宋" w:hAnsi="仿宋" w:eastAsia="仿宋" w:cs="仿宋"/>
          <w:color w:val="auto"/>
          <w:sz w:val="32"/>
          <w:szCs w:val="32"/>
        </w:rPr>
        <w:t>。</w:t>
      </w:r>
    </w:p>
    <w:p w14:paraId="49CE8259">
      <w:pPr>
        <w:pStyle w:val="2"/>
        <w:rPr>
          <w:rFonts w:hint="eastAsia"/>
        </w:rPr>
      </w:pPr>
    </w:p>
    <w:p w14:paraId="7BE8C2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五、一般公共预算财政拨款支出决算情况说明</w:t>
      </w:r>
    </w:p>
    <w:p w14:paraId="5561639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77" w:name="_Toc19665_WPSOffice_Level2"/>
      <w:bookmarkStart w:id="78" w:name="_Toc9989_WPSOffice_Level2"/>
      <w:bookmarkStart w:id="79" w:name="_Toc23005_WPSOffice_Level2"/>
      <w:bookmarkStart w:id="80" w:name="_Toc13694_WPSOffice_Level2"/>
      <w:bookmarkStart w:id="81" w:name="_Toc17398_WPSOffice_Level2"/>
      <w:bookmarkStart w:id="82" w:name="_Toc21737_WPSOffice_Level2"/>
      <w:r>
        <w:rPr>
          <w:rFonts w:hint="eastAsia" w:ascii="楷体" w:hAnsi="楷体" w:eastAsia="楷体" w:cs="楷体"/>
          <w:color w:val="auto"/>
          <w:sz w:val="32"/>
          <w:szCs w:val="32"/>
        </w:rPr>
        <w:t>（一）一般公共预算财政拨款支出决算总体情况</w:t>
      </w:r>
      <w:bookmarkEnd w:id="77"/>
      <w:bookmarkEnd w:id="78"/>
      <w:bookmarkEnd w:id="79"/>
      <w:bookmarkEnd w:id="80"/>
      <w:bookmarkEnd w:id="81"/>
      <w:bookmarkEnd w:id="82"/>
    </w:p>
    <w:p w14:paraId="0B0CF2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132,863.30</w:t>
      </w:r>
      <w:r>
        <w:rPr>
          <w:rFonts w:hint="eastAsia" w:ascii="仿宋" w:hAnsi="仿宋" w:eastAsia="仿宋" w:cs="仿宋"/>
          <w:color w:val="auto"/>
          <w:sz w:val="32"/>
          <w:szCs w:val="32"/>
        </w:rPr>
        <w:t>万元，占本年支出合计的</w:t>
      </w:r>
      <w:r>
        <w:rPr>
          <w:rFonts w:hint="eastAsia" w:ascii="仿宋_GB2312" w:hAnsi="仿宋" w:eastAsia="仿宋_GB2312"/>
          <w:color w:val="auto"/>
          <w:sz w:val="32"/>
          <w:szCs w:val="32"/>
          <w:lang w:val="en-US" w:eastAsia="zh-CN"/>
        </w:rPr>
        <w:t>28.08</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年度相比，一般公共预算财政拨款支出减少</w:t>
      </w:r>
      <w:r>
        <w:rPr>
          <w:rFonts w:hint="eastAsia" w:ascii="仿宋" w:hAnsi="仿宋" w:eastAsia="仿宋" w:cs="仿宋"/>
          <w:color w:val="auto"/>
          <w:sz w:val="32"/>
          <w:szCs w:val="32"/>
          <w:lang w:val="en-US"/>
        </w:rPr>
        <w:t>116</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655.33</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46.75</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2025年度</w:t>
      </w:r>
      <w:r>
        <w:rPr>
          <w:rFonts w:hint="eastAsia" w:ascii="仿宋_GB2312" w:hAnsi="仿宋" w:eastAsia="仿宋_GB2312"/>
          <w:color w:val="auto"/>
          <w:sz w:val="32"/>
          <w:szCs w:val="32"/>
          <w:lang w:val="en-US" w:eastAsia="zh-CN"/>
        </w:rPr>
        <w:t>政府投资项目投资额降低</w:t>
      </w:r>
      <w:r>
        <w:rPr>
          <w:rFonts w:hint="eastAsia" w:ascii="仿宋" w:hAnsi="仿宋" w:eastAsia="仿宋" w:cs="仿宋"/>
          <w:color w:val="auto"/>
          <w:sz w:val="32"/>
          <w:szCs w:val="32"/>
        </w:rPr>
        <w:t>。</w:t>
      </w:r>
    </w:p>
    <w:p w14:paraId="02CF4A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bookmarkStart w:id="83" w:name="_Toc23864_WPSOffice_Level2"/>
      <w:bookmarkStart w:id="84" w:name="_Toc19075_WPSOffice_Level2"/>
      <w:bookmarkStart w:id="85" w:name="_Toc18793_WPSOffice_Level2"/>
      <w:bookmarkStart w:id="86" w:name="_Toc19535_WPSOffice_Level2"/>
      <w:bookmarkStart w:id="87" w:name="_Toc27767_WPSOffice_Level2"/>
      <w:bookmarkStart w:id="88" w:name="_Toc2711_WPSOffice_Level2"/>
      <w:r>
        <w:rPr>
          <w:rFonts w:hint="eastAsia" w:ascii="楷体" w:hAnsi="楷体" w:eastAsia="楷体" w:cs="楷体"/>
          <w:color w:val="auto"/>
          <w:sz w:val="32"/>
          <w:szCs w:val="32"/>
          <w:highlight w:val="none"/>
        </w:rPr>
        <w:t>（二）一般公共预算财政拨款支出决算结构情况</w:t>
      </w:r>
      <w:bookmarkEnd w:id="83"/>
      <w:bookmarkEnd w:id="84"/>
      <w:bookmarkEnd w:id="85"/>
      <w:bookmarkEnd w:id="86"/>
      <w:bookmarkEnd w:id="87"/>
      <w:bookmarkEnd w:id="88"/>
    </w:p>
    <w:p w14:paraId="09B8FDCE">
      <w:pPr>
        <w:spacing w:line="578" w:lineRule="exact"/>
        <w:ind w:firstLine="640" w:firstLineChars="200"/>
        <w:rPr>
          <w:rFonts w:hint="eastAsia" w:ascii="仿宋_GB2312" w:hAnsi="ˎ̥" w:eastAsia="仿宋_GB2312"/>
          <w:color w:val="auto"/>
          <w:sz w:val="32"/>
          <w:szCs w:val="32"/>
          <w:highlight w:val="none"/>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132,863.30</w:t>
      </w:r>
      <w:r>
        <w:rPr>
          <w:rFonts w:hint="eastAsia" w:ascii="仿宋" w:hAnsi="仿宋" w:eastAsia="仿宋" w:cs="仿宋"/>
          <w:color w:val="auto"/>
          <w:sz w:val="32"/>
          <w:szCs w:val="32"/>
        </w:rPr>
        <w:t>万元，主要用于以下方面：</w:t>
      </w:r>
      <w:r>
        <w:rPr>
          <w:rFonts w:hint="eastAsia" w:ascii="仿宋_GB2312" w:hAnsi="ˎ̥" w:eastAsia="仿宋_GB2312"/>
          <w:b/>
          <w:color w:val="auto"/>
          <w:sz w:val="32"/>
          <w:szCs w:val="32"/>
        </w:rPr>
        <w:t>一般公共服务（类）</w:t>
      </w:r>
      <w:r>
        <w:rPr>
          <w:rFonts w:hint="eastAsia" w:ascii="仿宋_GB2312" w:hAnsi="ˎ̥" w:eastAsia="仿宋_GB2312"/>
          <w:color w:val="auto"/>
          <w:sz w:val="32"/>
          <w:szCs w:val="32"/>
        </w:rPr>
        <w:t>支出</w:t>
      </w:r>
      <w:r>
        <w:rPr>
          <w:rFonts w:hint="default" w:ascii="仿宋_GB2312" w:hAnsi="ˎ̥" w:eastAsia="仿宋_GB2312"/>
          <w:color w:val="auto"/>
          <w:sz w:val="32"/>
          <w:szCs w:val="32"/>
          <w:lang w:val="en-US"/>
        </w:rPr>
        <w:t>15</w:t>
      </w:r>
      <w:r>
        <w:rPr>
          <w:rFonts w:hint="eastAsia" w:ascii="仿宋_GB2312" w:hAnsi="ˎ̥" w:eastAsia="仿宋_GB2312"/>
          <w:color w:val="auto"/>
          <w:sz w:val="32"/>
          <w:szCs w:val="32"/>
          <w:lang w:val="en-US" w:eastAsia="zh-CN"/>
        </w:rPr>
        <w:t>,</w:t>
      </w:r>
      <w:r>
        <w:rPr>
          <w:rFonts w:hint="default" w:ascii="仿宋_GB2312" w:hAnsi="ˎ̥" w:eastAsia="仿宋_GB2312"/>
          <w:color w:val="auto"/>
          <w:sz w:val="32"/>
          <w:szCs w:val="32"/>
          <w:lang w:val="en-US"/>
        </w:rPr>
        <w:t>146.87</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11.4</w:t>
      </w:r>
      <w:r>
        <w:rPr>
          <w:rFonts w:hint="eastAsia" w:ascii="仿宋_GB2312" w:hAnsi="ˎ̥" w:eastAsia="仿宋_GB2312"/>
          <w:color w:val="auto"/>
          <w:sz w:val="32"/>
          <w:szCs w:val="32"/>
        </w:rPr>
        <w:t>%；</w:t>
      </w:r>
      <w:r>
        <w:rPr>
          <w:rFonts w:hint="eastAsia" w:ascii="仿宋_GB2312" w:hAnsi="ˎ̥" w:eastAsia="仿宋_GB2312" w:cs="Times New Roman"/>
          <w:b/>
          <w:color w:val="auto"/>
          <w:sz w:val="32"/>
          <w:szCs w:val="32"/>
          <w:highlight w:val="none"/>
        </w:rPr>
        <w:t>科学技术支出</w:t>
      </w:r>
      <w:r>
        <w:rPr>
          <w:rFonts w:hint="eastAsia" w:ascii="仿宋_GB2312" w:hAnsi="ˎ̥" w:eastAsia="仿宋_GB2312"/>
          <w:b/>
          <w:color w:val="auto"/>
          <w:sz w:val="32"/>
          <w:szCs w:val="32"/>
          <w:highlight w:val="none"/>
        </w:rPr>
        <w:t>（类）</w:t>
      </w:r>
      <w:r>
        <w:rPr>
          <w:rFonts w:hint="eastAsia" w:ascii="仿宋_GB2312" w:hAnsi="ˎ̥" w:eastAsia="仿宋_GB2312"/>
          <w:color w:val="auto"/>
          <w:sz w:val="32"/>
          <w:szCs w:val="32"/>
          <w:highlight w:val="none"/>
        </w:rPr>
        <w:t>支出</w:t>
      </w:r>
      <w:r>
        <w:rPr>
          <w:rFonts w:hint="default" w:ascii="仿宋_GB2312" w:hAnsi="ˎ̥" w:eastAsia="仿宋_GB2312"/>
          <w:color w:val="auto"/>
          <w:sz w:val="32"/>
          <w:szCs w:val="32"/>
          <w:highlight w:val="none"/>
          <w:lang w:val="en-US"/>
        </w:rPr>
        <w:t>6</w:t>
      </w:r>
      <w:r>
        <w:rPr>
          <w:rFonts w:hint="eastAsia" w:ascii="仿宋_GB2312" w:hAnsi="ˎ̥" w:eastAsia="仿宋_GB2312"/>
          <w:color w:val="auto"/>
          <w:sz w:val="32"/>
          <w:szCs w:val="32"/>
          <w:highlight w:val="none"/>
          <w:lang w:val="en-US" w:eastAsia="zh-CN"/>
        </w:rPr>
        <w:t>,</w:t>
      </w:r>
      <w:r>
        <w:rPr>
          <w:rFonts w:hint="default" w:ascii="仿宋_GB2312" w:hAnsi="ˎ̥" w:eastAsia="仿宋_GB2312"/>
          <w:color w:val="auto"/>
          <w:sz w:val="32"/>
          <w:szCs w:val="32"/>
          <w:highlight w:val="none"/>
          <w:lang w:val="en-US"/>
        </w:rPr>
        <w:t>923.45</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5.21</w:t>
      </w:r>
      <w:r>
        <w:rPr>
          <w:rFonts w:hint="eastAsia" w:ascii="仿宋_GB2312" w:hAnsi="ˎ̥" w:eastAsia="仿宋_GB2312"/>
          <w:color w:val="auto"/>
          <w:sz w:val="32"/>
          <w:szCs w:val="32"/>
          <w:highlight w:val="none"/>
        </w:rPr>
        <w:t>%；</w:t>
      </w:r>
      <w:r>
        <w:rPr>
          <w:rFonts w:hint="eastAsia" w:ascii="仿宋_GB2312" w:hAnsi="ˎ̥" w:eastAsia="仿宋_GB2312"/>
          <w:b/>
          <w:bCs/>
          <w:color w:val="auto"/>
          <w:sz w:val="32"/>
          <w:szCs w:val="32"/>
          <w:highlight w:val="none"/>
        </w:rPr>
        <w:t>社会保障和就业</w:t>
      </w:r>
      <w:r>
        <w:rPr>
          <w:rFonts w:hint="eastAsia" w:ascii="仿宋_GB2312" w:hAnsi="ˎ̥" w:eastAsia="仿宋_GB2312"/>
          <w:color w:val="auto"/>
          <w:sz w:val="32"/>
          <w:szCs w:val="32"/>
          <w:highlight w:val="none"/>
        </w:rPr>
        <w:t>支出10.67</w:t>
      </w:r>
      <w:r>
        <w:rPr>
          <w:rFonts w:hint="eastAsia" w:ascii="仿宋_GB2312" w:hAnsi="ˎ̥" w:eastAsia="仿宋_GB2312"/>
          <w:color w:val="auto"/>
          <w:sz w:val="32"/>
          <w:szCs w:val="32"/>
          <w:highlight w:val="none"/>
          <w:lang w:val="en-US" w:eastAsia="zh-CN"/>
        </w:rPr>
        <w:t>万元，占0.01%；</w:t>
      </w:r>
      <w:r>
        <w:rPr>
          <w:rFonts w:hint="eastAsia" w:ascii="仿宋_GB2312" w:hAnsi="ˎ̥" w:eastAsia="仿宋_GB2312"/>
          <w:b/>
          <w:bCs/>
          <w:color w:val="auto"/>
          <w:sz w:val="32"/>
          <w:szCs w:val="32"/>
          <w:highlight w:val="none"/>
          <w:lang w:val="en-US" w:eastAsia="zh-CN"/>
        </w:rPr>
        <w:t>城乡社区（类）</w:t>
      </w:r>
      <w:r>
        <w:rPr>
          <w:rFonts w:hint="eastAsia" w:ascii="仿宋_GB2312" w:hAnsi="ˎ̥" w:eastAsia="仿宋_GB2312"/>
          <w:color w:val="auto"/>
          <w:sz w:val="32"/>
          <w:szCs w:val="32"/>
          <w:highlight w:val="none"/>
        </w:rPr>
        <w:t>支出</w:t>
      </w:r>
      <w:r>
        <w:rPr>
          <w:rFonts w:hint="default" w:ascii="仿宋_GB2312" w:hAnsi="ˎ̥" w:eastAsia="仿宋_GB2312"/>
          <w:color w:val="auto"/>
          <w:sz w:val="32"/>
          <w:szCs w:val="32"/>
          <w:highlight w:val="none"/>
          <w:lang w:val="en-US"/>
        </w:rPr>
        <w:t>97</w:t>
      </w:r>
      <w:r>
        <w:rPr>
          <w:rFonts w:hint="eastAsia" w:ascii="仿宋_GB2312" w:hAnsi="ˎ̥" w:eastAsia="仿宋_GB2312"/>
          <w:color w:val="auto"/>
          <w:sz w:val="32"/>
          <w:szCs w:val="32"/>
          <w:highlight w:val="none"/>
          <w:lang w:val="en-US" w:eastAsia="zh-CN"/>
        </w:rPr>
        <w:t>,</w:t>
      </w:r>
      <w:r>
        <w:rPr>
          <w:rFonts w:hint="default" w:ascii="仿宋_GB2312" w:hAnsi="ˎ̥" w:eastAsia="仿宋_GB2312"/>
          <w:color w:val="auto"/>
          <w:sz w:val="32"/>
          <w:szCs w:val="32"/>
          <w:highlight w:val="none"/>
          <w:lang w:val="en-US"/>
        </w:rPr>
        <w:t>961.61</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73.73</w:t>
      </w:r>
      <w:r>
        <w:rPr>
          <w:rFonts w:hint="eastAsia" w:ascii="仿宋_GB2312" w:hAnsi="ˎ̥" w:eastAsia="仿宋_GB2312"/>
          <w:color w:val="auto"/>
          <w:sz w:val="32"/>
          <w:szCs w:val="32"/>
          <w:highlight w:val="none"/>
        </w:rPr>
        <w:t>%；</w:t>
      </w:r>
      <w:r>
        <w:rPr>
          <w:rFonts w:hint="eastAsia" w:ascii="仿宋_GB2312" w:hAnsi="ˎ̥" w:eastAsia="仿宋_GB2312"/>
          <w:b/>
          <w:bCs/>
          <w:color w:val="auto"/>
          <w:sz w:val="32"/>
          <w:szCs w:val="32"/>
          <w:highlight w:val="none"/>
        </w:rPr>
        <w:t>农林水支出</w:t>
      </w:r>
      <w:r>
        <w:rPr>
          <w:rFonts w:hint="eastAsia" w:ascii="仿宋_GB2312" w:hAnsi="ˎ̥" w:eastAsia="仿宋_GB2312"/>
          <w:b/>
          <w:bCs/>
          <w:color w:val="auto"/>
          <w:sz w:val="32"/>
          <w:szCs w:val="32"/>
          <w:highlight w:val="none"/>
          <w:lang w:eastAsia="zh-CN"/>
        </w:rPr>
        <w:t>（</w:t>
      </w:r>
      <w:r>
        <w:rPr>
          <w:rFonts w:hint="eastAsia" w:ascii="仿宋_GB2312" w:hAnsi="ˎ̥" w:eastAsia="仿宋_GB2312"/>
          <w:b/>
          <w:bCs/>
          <w:color w:val="auto"/>
          <w:sz w:val="32"/>
          <w:szCs w:val="32"/>
          <w:highlight w:val="none"/>
          <w:lang w:val="en-US" w:eastAsia="zh-CN"/>
        </w:rPr>
        <w:t>类</w:t>
      </w:r>
      <w:r>
        <w:rPr>
          <w:rFonts w:hint="eastAsia" w:ascii="仿宋_GB2312" w:hAnsi="ˎ̥" w:eastAsia="仿宋_GB2312"/>
          <w:b/>
          <w:bCs/>
          <w:color w:val="auto"/>
          <w:sz w:val="32"/>
          <w:szCs w:val="32"/>
          <w:highlight w:val="none"/>
          <w:lang w:eastAsia="zh-CN"/>
        </w:rPr>
        <w:t>）</w:t>
      </w:r>
      <w:r>
        <w:rPr>
          <w:rFonts w:hint="eastAsia" w:ascii="仿宋_GB2312" w:hAnsi="ˎ̥" w:eastAsia="仿宋_GB2312"/>
          <w:b w:val="0"/>
          <w:bCs w:val="0"/>
          <w:color w:val="auto"/>
          <w:sz w:val="32"/>
          <w:szCs w:val="32"/>
          <w:highlight w:val="none"/>
          <w:lang w:val="en-US" w:eastAsia="zh-CN"/>
        </w:rPr>
        <w:t>支出</w:t>
      </w:r>
      <w:r>
        <w:rPr>
          <w:rFonts w:hint="eastAsia" w:ascii="仿宋_GB2312" w:hAnsi="ˎ̥" w:eastAsia="仿宋_GB2312"/>
          <w:color w:val="auto"/>
          <w:sz w:val="32"/>
          <w:szCs w:val="32"/>
          <w:highlight w:val="none"/>
          <w:lang w:val="en-US" w:eastAsia="zh-CN"/>
        </w:rPr>
        <w:t>1,315.46万元，占0.99%；</w:t>
      </w:r>
      <w:r>
        <w:rPr>
          <w:rFonts w:hint="eastAsia" w:ascii="仿宋_GB2312" w:hAnsi="ˎ̥" w:eastAsia="仿宋_GB2312"/>
          <w:b/>
          <w:bCs/>
          <w:color w:val="auto"/>
          <w:sz w:val="32"/>
          <w:szCs w:val="32"/>
          <w:highlight w:val="none"/>
          <w:lang w:val="en-US" w:eastAsia="zh-CN"/>
        </w:rPr>
        <w:t>资源勘探工业信息等支出（类）</w:t>
      </w:r>
      <w:r>
        <w:rPr>
          <w:rFonts w:hint="eastAsia" w:ascii="仿宋_GB2312" w:hAnsi="ˎ̥" w:eastAsia="仿宋_GB2312"/>
          <w:color w:val="auto"/>
          <w:sz w:val="32"/>
          <w:szCs w:val="32"/>
          <w:highlight w:val="none"/>
        </w:rPr>
        <w:t>支出</w:t>
      </w:r>
      <w:r>
        <w:rPr>
          <w:rFonts w:hint="default" w:ascii="仿宋_GB2312" w:hAnsi="ˎ̥" w:eastAsia="仿宋_GB2312"/>
          <w:color w:val="auto"/>
          <w:sz w:val="32"/>
          <w:szCs w:val="32"/>
          <w:highlight w:val="none"/>
          <w:lang w:val="en-US"/>
        </w:rPr>
        <w:t>9</w:t>
      </w:r>
      <w:r>
        <w:rPr>
          <w:rFonts w:hint="eastAsia" w:ascii="仿宋_GB2312" w:hAnsi="ˎ̥" w:eastAsia="仿宋_GB2312"/>
          <w:color w:val="auto"/>
          <w:sz w:val="32"/>
          <w:szCs w:val="32"/>
          <w:highlight w:val="none"/>
          <w:lang w:val="en-US" w:eastAsia="zh-CN"/>
        </w:rPr>
        <w:t>,</w:t>
      </w:r>
      <w:r>
        <w:rPr>
          <w:rFonts w:hint="default" w:ascii="仿宋_GB2312" w:hAnsi="ˎ̥" w:eastAsia="仿宋_GB2312"/>
          <w:color w:val="auto"/>
          <w:sz w:val="32"/>
          <w:szCs w:val="32"/>
          <w:highlight w:val="none"/>
          <w:lang w:val="en-US"/>
        </w:rPr>
        <w:t>719.4</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7.32</w:t>
      </w:r>
      <w:r>
        <w:rPr>
          <w:rFonts w:hint="eastAsia" w:ascii="仿宋_GB2312" w:hAnsi="ˎ̥" w:eastAsia="仿宋_GB2312"/>
          <w:color w:val="auto"/>
          <w:sz w:val="32"/>
          <w:szCs w:val="32"/>
          <w:highlight w:val="none"/>
        </w:rPr>
        <w:t>%；</w:t>
      </w:r>
      <w:r>
        <w:rPr>
          <w:rFonts w:hint="eastAsia" w:ascii="仿宋_GB2312" w:hAnsi="ˎ̥" w:eastAsia="仿宋_GB2312"/>
          <w:b/>
          <w:bCs/>
          <w:color w:val="auto"/>
          <w:sz w:val="32"/>
          <w:szCs w:val="32"/>
          <w:highlight w:val="none"/>
        </w:rPr>
        <w:t>其他支出</w:t>
      </w:r>
      <w:r>
        <w:rPr>
          <w:rFonts w:hint="eastAsia" w:ascii="仿宋_GB2312" w:hAnsi="ˎ̥" w:eastAsia="仿宋_GB2312"/>
          <w:b/>
          <w:bCs/>
          <w:color w:val="auto"/>
          <w:sz w:val="32"/>
          <w:szCs w:val="32"/>
          <w:highlight w:val="none"/>
          <w:lang w:eastAsia="zh-CN"/>
        </w:rPr>
        <w:t>（</w:t>
      </w:r>
      <w:r>
        <w:rPr>
          <w:rFonts w:hint="eastAsia" w:ascii="仿宋_GB2312" w:hAnsi="ˎ̥" w:eastAsia="仿宋_GB2312"/>
          <w:b/>
          <w:bCs/>
          <w:color w:val="auto"/>
          <w:sz w:val="32"/>
          <w:szCs w:val="32"/>
          <w:highlight w:val="none"/>
          <w:lang w:val="en-US" w:eastAsia="zh-CN"/>
        </w:rPr>
        <w:t>类</w:t>
      </w:r>
      <w:r>
        <w:rPr>
          <w:rFonts w:hint="eastAsia" w:ascii="仿宋_GB2312" w:hAnsi="ˎ̥" w:eastAsia="仿宋_GB2312"/>
          <w:b/>
          <w:bCs/>
          <w:color w:val="auto"/>
          <w:sz w:val="32"/>
          <w:szCs w:val="32"/>
          <w:highlight w:val="none"/>
          <w:lang w:eastAsia="zh-CN"/>
        </w:rPr>
        <w:t>）</w:t>
      </w:r>
      <w:r>
        <w:rPr>
          <w:rFonts w:hint="eastAsia" w:ascii="仿宋_GB2312" w:hAnsi="ˎ̥" w:eastAsia="仿宋_GB2312"/>
          <w:b w:val="0"/>
          <w:bCs w:val="0"/>
          <w:color w:val="auto"/>
          <w:sz w:val="32"/>
          <w:szCs w:val="32"/>
          <w:highlight w:val="none"/>
          <w:lang w:val="en-US" w:eastAsia="zh-CN"/>
        </w:rPr>
        <w:t>支出</w:t>
      </w:r>
      <w:r>
        <w:rPr>
          <w:rFonts w:hint="eastAsia" w:ascii="仿宋_GB2312" w:hAnsi="ˎ̥" w:eastAsia="仿宋_GB2312"/>
          <w:color w:val="auto"/>
          <w:sz w:val="32"/>
          <w:szCs w:val="32"/>
          <w:highlight w:val="none"/>
          <w:lang w:val="en-US" w:eastAsia="zh-CN"/>
        </w:rPr>
        <w:t>1,785.84万元，占1.34%</w:t>
      </w:r>
      <w:r>
        <w:rPr>
          <w:rFonts w:hint="eastAsia" w:ascii="仿宋_GB2312" w:hAnsi="ˎ̥" w:eastAsia="仿宋_GB2312"/>
          <w:color w:val="auto"/>
          <w:sz w:val="32"/>
          <w:szCs w:val="32"/>
          <w:highlight w:val="none"/>
        </w:rPr>
        <w:t>。</w:t>
      </w:r>
    </w:p>
    <w:p w14:paraId="51B556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bookmarkStart w:id="89" w:name="_Toc25136_WPSOffice_Level2"/>
      <w:bookmarkStart w:id="90" w:name="_Toc15415_WPSOffice_Level2"/>
      <w:bookmarkStart w:id="91" w:name="_Toc22318_WPSOffice_Level2"/>
      <w:bookmarkStart w:id="92" w:name="_Toc9502_WPSOffice_Level2"/>
      <w:bookmarkStart w:id="93" w:name="_Toc29364_WPSOffice_Level2"/>
      <w:bookmarkStart w:id="94" w:name="_Toc21701_WPSOffice_Level2"/>
      <w:r>
        <w:rPr>
          <w:rFonts w:hint="eastAsia" w:ascii="楷体" w:hAnsi="楷体" w:eastAsia="楷体" w:cs="楷体"/>
          <w:color w:val="auto"/>
          <w:sz w:val="32"/>
          <w:szCs w:val="32"/>
          <w:highlight w:val="none"/>
        </w:rPr>
        <w:t>（三）一般公共预算财政拨款支出决算具体情况</w:t>
      </w:r>
      <w:bookmarkEnd w:id="89"/>
      <w:bookmarkEnd w:id="90"/>
      <w:bookmarkEnd w:id="91"/>
      <w:bookmarkEnd w:id="92"/>
      <w:bookmarkEnd w:id="93"/>
      <w:bookmarkEnd w:id="94"/>
    </w:p>
    <w:p w14:paraId="04217A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年度一般公共预算财政拨款支出年初预算为</w:t>
      </w:r>
      <w:r>
        <w:rPr>
          <w:rFonts w:hint="eastAsia" w:ascii="仿宋" w:hAnsi="仿宋" w:eastAsia="仿宋" w:cs="仿宋"/>
          <w:color w:val="auto"/>
          <w:sz w:val="32"/>
          <w:szCs w:val="32"/>
          <w:lang w:val="en-US"/>
        </w:rPr>
        <w:t>89,907.43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132,863.30</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147.78</w:t>
      </w:r>
      <w:r>
        <w:rPr>
          <w:rFonts w:hint="eastAsia" w:ascii="仿宋" w:hAnsi="仿宋" w:eastAsia="仿宋" w:cs="仿宋"/>
          <w:color w:val="auto"/>
          <w:sz w:val="32"/>
          <w:szCs w:val="32"/>
        </w:rPr>
        <w:t>%。其中：</w:t>
      </w:r>
    </w:p>
    <w:p w14:paraId="1A3642F1">
      <w:pPr>
        <w:numPr>
          <w:ilvl w:val="0"/>
          <w:numId w:val="0"/>
        </w:numPr>
        <w:ind w:firstLine="640" w:firstLineChars="200"/>
        <w:rPr>
          <w:rFonts w:hint="eastAsia" w:ascii="仿宋_GB2312" w:hAnsi="ˎ̥" w:eastAsia="仿宋_GB2312"/>
          <w:b/>
          <w:color w:val="auto"/>
          <w:sz w:val="32"/>
          <w:szCs w:val="32"/>
          <w:highlight w:val="none"/>
          <w:lang w:eastAsia="zh-CN"/>
        </w:rPr>
      </w:pPr>
      <w:r>
        <w:rPr>
          <w:rFonts w:hint="eastAsia" w:ascii="仿宋" w:hAnsi="仿宋" w:eastAsia="仿宋" w:cs="仿宋"/>
          <w:color w:val="auto"/>
          <w:sz w:val="32"/>
          <w:szCs w:val="32"/>
        </w:rPr>
        <w:t>1.</w:t>
      </w:r>
      <w:r>
        <w:rPr>
          <w:rFonts w:hint="eastAsia" w:ascii="仿宋_GB2312" w:hAnsi="ˎ̥" w:eastAsia="仿宋_GB2312"/>
          <w:b/>
          <w:color w:val="auto"/>
          <w:sz w:val="32"/>
          <w:szCs w:val="32"/>
          <w:highlight w:val="none"/>
        </w:rPr>
        <w:t>一般公共服务（类）政府办公厅（室）及相关机构事务（款）一般行政管理事务（项）</w:t>
      </w:r>
    </w:p>
    <w:p w14:paraId="1CEEF35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44,442.57</w:t>
      </w:r>
      <w:r>
        <w:rPr>
          <w:rFonts w:hint="eastAsia" w:ascii="仿宋_GB2312" w:hAnsi="ˎ̥" w:eastAsia="仿宋_GB2312"/>
          <w:color w:val="auto"/>
          <w:sz w:val="32"/>
          <w:szCs w:val="32"/>
          <w:highlight w:val="none"/>
        </w:rPr>
        <w:t>万元，支出决算为15</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145.35万元，完成年初预算的</w:t>
      </w:r>
      <w:r>
        <w:rPr>
          <w:rFonts w:hint="eastAsia" w:ascii="仿宋_GB2312" w:hAnsi="ˎ̥" w:eastAsia="仿宋_GB2312"/>
          <w:color w:val="auto"/>
          <w:sz w:val="32"/>
          <w:szCs w:val="32"/>
          <w:highlight w:val="none"/>
          <w:lang w:val="en-US" w:eastAsia="zh-CN"/>
        </w:rPr>
        <w:t>34.08</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小于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是根据财政要求调整预算项目指标要素，将园区发展资金29,193.89万元从</w:t>
      </w:r>
      <w:r>
        <w:rPr>
          <w:rFonts w:hint="eastAsia" w:ascii="仿宋_GB2312" w:hAnsi="ˎ̥" w:eastAsia="仿宋_GB2312"/>
          <w:b w:val="0"/>
          <w:bCs/>
          <w:color w:val="auto"/>
          <w:sz w:val="32"/>
          <w:szCs w:val="32"/>
          <w:highlight w:val="none"/>
        </w:rPr>
        <w:t>一般公共服务（类）政府办公厅（室）及相关机构事务（款）一般行政管理事务（项）</w:t>
      </w:r>
      <w:r>
        <w:rPr>
          <w:rFonts w:hint="eastAsia" w:ascii="仿宋_GB2312" w:hAnsi="ˎ̥" w:eastAsia="仿宋_GB2312"/>
          <w:b w:val="0"/>
          <w:bCs/>
          <w:color w:val="auto"/>
          <w:sz w:val="32"/>
          <w:szCs w:val="32"/>
          <w:highlight w:val="none"/>
          <w:lang w:val="en-US" w:eastAsia="zh-CN"/>
        </w:rPr>
        <w:t>支出调整至城乡社区支出（类）其他城乡社区支出（款）其他城乡社区支出（项）。</w:t>
      </w:r>
    </w:p>
    <w:p w14:paraId="29370269">
      <w:pPr>
        <w:numPr>
          <w:ilvl w:val="0"/>
          <w:numId w:val="0"/>
        </w:numPr>
        <w:ind w:firstLine="640" w:firstLineChars="200"/>
        <w:rPr>
          <w:rFonts w:hint="eastAsia" w:ascii="仿宋_GB2312" w:hAnsi="ˎ̥" w:eastAsia="仿宋_GB2312"/>
          <w:b/>
          <w:color w:val="auto"/>
          <w:sz w:val="32"/>
          <w:szCs w:val="32"/>
          <w:highlight w:val="none"/>
        </w:rPr>
      </w:pPr>
      <w:r>
        <w:rPr>
          <w:rFonts w:hint="eastAsia" w:ascii="仿宋" w:hAnsi="仿宋" w:eastAsia="仿宋" w:cs="仿宋"/>
          <w:color w:val="auto"/>
          <w:sz w:val="32"/>
          <w:szCs w:val="32"/>
        </w:rPr>
        <w:t>2.</w:t>
      </w:r>
      <w:r>
        <w:rPr>
          <w:rFonts w:hint="eastAsia" w:ascii="仿宋_GB2312" w:hAnsi="ˎ̥" w:eastAsia="仿宋_GB2312"/>
          <w:b/>
          <w:color w:val="auto"/>
          <w:sz w:val="32"/>
          <w:szCs w:val="32"/>
          <w:highlight w:val="none"/>
        </w:rPr>
        <w:t>一般公共服务（类）其他一般公共服务支出（款）其他一般公共服务支出（项）</w:t>
      </w:r>
    </w:p>
    <w:p w14:paraId="0AB0BA1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元，支出决算为1.53万元。决算数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是2025年政策补助资金在年中下达，无年初预算。</w:t>
      </w:r>
    </w:p>
    <w:p w14:paraId="403EFCB6">
      <w:pPr>
        <w:numPr>
          <w:ilvl w:val="0"/>
          <w:numId w:val="0"/>
        </w:numPr>
        <w:ind w:firstLine="640" w:firstLineChars="200"/>
        <w:rPr>
          <w:rFonts w:hint="eastAsia" w:ascii="仿宋_GB2312" w:hAnsi="ˎ̥" w:eastAsia="仿宋_GB2312"/>
          <w:b/>
          <w:color w:val="auto"/>
          <w:sz w:val="32"/>
          <w:szCs w:val="32"/>
          <w:highlight w:val="none"/>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_GB2312" w:hAnsi="ˎ̥" w:eastAsia="仿宋_GB2312"/>
          <w:b/>
          <w:color w:val="auto"/>
          <w:sz w:val="32"/>
          <w:szCs w:val="32"/>
          <w:highlight w:val="none"/>
        </w:rPr>
        <w:t>科学技术支出（类）其他科学技术支出（款）其他科学技术支出（项）</w:t>
      </w:r>
    </w:p>
    <w:p w14:paraId="0C06A1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元，支出决算为6</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923.45万元。决算数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是2025年底根据财政要求更正指标要素，将</w:t>
      </w:r>
      <w:r>
        <w:rPr>
          <w:rFonts w:hint="eastAsia" w:ascii="仿宋_GB2312" w:hAnsi="ˎ̥" w:eastAsia="仿宋_GB2312"/>
          <w:color w:val="auto"/>
          <w:sz w:val="32"/>
          <w:szCs w:val="32"/>
          <w:highlight w:val="none"/>
        </w:rPr>
        <w:t>6</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923.45万元</w:t>
      </w:r>
      <w:r>
        <w:rPr>
          <w:rFonts w:hint="eastAsia" w:ascii="仿宋_GB2312" w:hAnsi="ˎ̥" w:eastAsia="仿宋_GB2312"/>
          <w:color w:val="auto"/>
          <w:sz w:val="32"/>
          <w:szCs w:val="32"/>
          <w:highlight w:val="none"/>
          <w:lang w:val="en-US" w:eastAsia="zh-CN"/>
        </w:rPr>
        <w:t>从</w:t>
      </w:r>
      <w:r>
        <w:rPr>
          <w:rFonts w:hint="eastAsia" w:ascii="仿宋_GB2312" w:hAnsi="ˎ̥" w:eastAsia="仿宋_GB2312"/>
          <w:b w:val="0"/>
          <w:bCs/>
          <w:color w:val="auto"/>
          <w:sz w:val="32"/>
          <w:szCs w:val="32"/>
          <w:highlight w:val="none"/>
          <w:lang w:val="en-US" w:eastAsia="zh-CN"/>
        </w:rPr>
        <w:t>城乡社区支出（类）其他城乡社区支出（款）其他城乡社区支出（项）调整至科学技术支出（类）其他科学技术支出（款）其他科学技术支出（项）</w:t>
      </w:r>
      <w:r>
        <w:rPr>
          <w:rFonts w:hint="eastAsia" w:ascii="仿宋_GB2312" w:hAnsi="ˎ̥" w:eastAsia="仿宋_GB2312"/>
          <w:color w:val="auto"/>
          <w:sz w:val="32"/>
          <w:szCs w:val="32"/>
          <w:highlight w:val="none"/>
          <w:lang w:val="en-US" w:eastAsia="zh-CN"/>
        </w:rPr>
        <w:t>，无年初预算。</w:t>
      </w:r>
    </w:p>
    <w:p w14:paraId="4574CBE8">
      <w:pPr>
        <w:numPr>
          <w:ilvl w:val="0"/>
          <w:numId w:val="0"/>
        </w:numPr>
        <w:ind w:firstLine="643" w:firstLineChars="200"/>
        <w:rPr>
          <w:rFonts w:hint="eastAsia" w:ascii="仿宋_GB2312" w:hAnsi="ˎ̥" w:eastAsia="仿宋_GB2312"/>
          <w:b/>
          <w:color w:val="auto"/>
          <w:sz w:val="32"/>
          <w:szCs w:val="32"/>
          <w:highlight w:val="none"/>
        </w:rPr>
      </w:pPr>
      <w:r>
        <w:rPr>
          <w:rFonts w:hint="eastAsia" w:ascii="仿宋_GB2312" w:hAnsi="ˎ̥" w:eastAsia="仿宋_GB2312" w:cs="Times New Roman"/>
          <w:b/>
          <w:color w:val="auto"/>
          <w:sz w:val="32"/>
          <w:szCs w:val="32"/>
          <w:highlight w:val="none"/>
          <w:lang w:val="en-US" w:eastAsia="zh-CN"/>
        </w:rPr>
        <w:t>4.</w:t>
      </w:r>
      <w:r>
        <w:rPr>
          <w:rFonts w:hint="eastAsia" w:ascii="仿宋_GB2312" w:hAnsi="ˎ̥" w:eastAsia="仿宋_GB2312" w:cs="Times New Roman"/>
          <w:b/>
          <w:color w:val="auto"/>
          <w:sz w:val="32"/>
          <w:szCs w:val="32"/>
          <w:highlight w:val="none"/>
        </w:rPr>
        <w:t>社会保障和就业支出</w:t>
      </w:r>
      <w:r>
        <w:rPr>
          <w:rFonts w:hint="eastAsia" w:ascii="仿宋_GB2312" w:hAnsi="ˎ̥" w:eastAsia="仿宋_GB2312"/>
          <w:b/>
          <w:color w:val="auto"/>
          <w:sz w:val="32"/>
          <w:szCs w:val="32"/>
          <w:highlight w:val="none"/>
        </w:rPr>
        <w:t>（类）行政事业单位养老支出（款）</w:t>
      </w:r>
    </w:p>
    <w:p w14:paraId="1913FDE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w:t>
      </w:r>
      <w:r>
        <w:rPr>
          <w:rFonts w:hint="eastAsia" w:ascii="仿宋_GB2312" w:hAnsi="ˎ̥" w:eastAsia="仿宋_GB2312"/>
          <w:color w:val="auto"/>
          <w:sz w:val="32"/>
          <w:szCs w:val="32"/>
          <w:highlight w:val="none"/>
          <w:lang w:val="en-US" w:eastAsia="zh-CN"/>
        </w:rPr>
        <w:t>10.67</w:t>
      </w:r>
      <w:r>
        <w:rPr>
          <w:rFonts w:hint="eastAsia" w:ascii="仿宋_GB2312" w:hAnsi="ˎ̥" w:eastAsia="仿宋_GB2312"/>
          <w:color w:val="auto"/>
          <w:sz w:val="32"/>
          <w:szCs w:val="32"/>
          <w:highlight w:val="none"/>
        </w:rPr>
        <w:t>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是年中下达10.67万元职业年金单位缴费部分记实经费，无年初预算。</w:t>
      </w:r>
    </w:p>
    <w:p w14:paraId="3838E6D1">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5.</w:t>
      </w:r>
      <w:r>
        <w:rPr>
          <w:rFonts w:hint="eastAsia" w:ascii="仿宋_GB2312" w:hAnsi="ˎ̥" w:eastAsia="仿宋_GB2312" w:cs="Times New Roman"/>
          <w:b/>
          <w:color w:val="auto"/>
          <w:sz w:val="32"/>
          <w:szCs w:val="32"/>
          <w:highlight w:val="none"/>
        </w:rPr>
        <w:t>城</w:t>
      </w:r>
      <w:r>
        <w:rPr>
          <w:rFonts w:hint="eastAsia" w:ascii="仿宋_GB2312" w:hAnsi="ˎ̥" w:eastAsia="仿宋_GB2312"/>
          <w:b/>
          <w:color w:val="auto"/>
          <w:sz w:val="32"/>
          <w:szCs w:val="32"/>
          <w:highlight w:val="none"/>
        </w:rPr>
        <w:t>乡社区支出（类）</w:t>
      </w:r>
      <w:r>
        <w:rPr>
          <w:rFonts w:hint="eastAsia" w:ascii="仿宋_GB2312" w:hAnsi="ˎ̥" w:eastAsia="仿宋_GB2312"/>
          <w:b/>
          <w:color w:val="auto"/>
          <w:sz w:val="32"/>
          <w:szCs w:val="32"/>
          <w:highlight w:val="none"/>
          <w:lang w:val="en-US" w:eastAsia="zh-CN"/>
        </w:rPr>
        <w:t>城乡社区公共设施</w:t>
      </w:r>
      <w:r>
        <w:rPr>
          <w:rFonts w:hint="eastAsia" w:ascii="仿宋_GB2312" w:hAnsi="ˎ̥" w:eastAsia="仿宋_GB2312"/>
          <w:b/>
          <w:color w:val="auto"/>
          <w:sz w:val="32"/>
          <w:szCs w:val="32"/>
          <w:highlight w:val="none"/>
        </w:rPr>
        <w:t>（款）其他城乡社区</w:t>
      </w:r>
      <w:r>
        <w:rPr>
          <w:rFonts w:hint="eastAsia" w:ascii="仿宋_GB2312" w:hAnsi="ˎ̥" w:eastAsia="仿宋_GB2312"/>
          <w:b/>
          <w:color w:val="auto"/>
          <w:sz w:val="32"/>
          <w:szCs w:val="32"/>
          <w:highlight w:val="none"/>
          <w:lang w:val="en-US" w:eastAsia="zh-CN"/>
        </w:rPr>
        <w:t>公共设施</w:t>
      </w:r>
      <w:r>
        <w:rPr>
          <w:rFonts w:hint="eastAsia" w:ascii="仿宋_GB2312" w:hAnsi="ˎ̥" w:eastAsia="仿宋_GB2312"/>
          <w:b/>
          <w:color w:val="auto"/>
          <w:sz w:val="32"/>
          <w:szCs w:val="32"/>
          <w:highlight w:val="none"/>
        </w:rPr>
        <w:t>支出（项）</w:t>
      </w:r>
    </w:p>
    <w:p w14:paraId="7818A7E7">
      <w:pPr>
        <w:ind w:firstLine="640" w:firstLineChars="200"/>
        <w:rPr>
          <w:rFonts w:hint="default"/>
          <w:color w:val="auto"/>
          <w:highlight w:val="none"/>
          <w:lang w:val="en-US"/>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元，支出决算为15</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356.43万元，决算数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：一是：大</w:t>
      </w:r>
      <w:r>
        <w:rPr>
          <w:rFonts w:hint="eastAsia" w:ascii="仿宋_GB2312" w:hAnsi="ˎ̥" w:eastAsia="仿宋_GB2312"/>
          <w:color w:val="auto"/>
          <w:sz w:val="32"/>
          <w:szCs w:val="32"/>
          <w:highlight w:val="none"/>
        </w:rPr>
        <w:t>部分</w:t>
      </w:r>
      <w:r>
        <w:rPr>
          <w:rFonts w:hint="eastAsia" w:ascii="仿宋_GB2312" w:hAnsi="ˎ̥" w:eastAsia="仿宋_GB2312"/>
          <w:color w:val="auto"/>
          <w:sz w:val="32"/>
          <w:szCs w:val="32"/>
          <w:highlight w:val="none"/>
          <w:lang w:val="en-US" w:eastAsia="zh-CN"/>
        </w:rPr>
        <w:t>政府</w:t>
      </w:r>
      <w:r>
        <w:rPr>
          <w:rFonts w:hint="eastAsia" w:ascii="仿宋_GB2312" w:hAnsi="ˎ̥" w:eastAsia="仿宋_GB2312"/>
          <w:color w:val="auto"/>
          <w:sz w:val="32"/>
          <w:szCs w:val="32"/>
          <w:highlight w:val="none"/>
        </w:rPr>
        <w:t>投资项目资金</w:t>
      </w:r>
      <w:r>
        <w:rPr>
          <w:rFonts w:hint="eastAsia" w:ascii="仿宋_GB2312" w:hAnsi="ˎ̥" w:eastAsia="仿宋_GB2312"/>
          <w:color w:val="auto"/>
          <w:sz w:val="32"/>
          <w:szCs w:val="32"/>
          <w:highlight w:val="none"/>
          <w:lang w:val="en-US" w:eastAsia="zh-CN"/>
        </w:rPr>
        <w:t>在年中下达；二是：调整预算项目指标要素，将顺达路（机场北路南段）市政道路工程项目3,057.82万元从城乡社区支出（类）国有土地使用权出让收入安排的支出（款）其他国有土地使用权出让收入安排的支出（项）调整至城乡社区支出（类）城乡社区公共设施（款）其他城乡社区公共设施支出（项），无年初预算</w:t>
      </w:r>
      <w:r>
        <w:rPr>
          <w:rFonts w:hint="eastAsia" w:ascii="仿宋_GB2312" w:hAnsi="ˎ̥" w:eastAsia="仿宋_GB2312"/>
          <w:color w:val="auto"/>
          <w:sz w:val="32"/>
          <w:szCs w:val="32"/>
          <w:highlight w:val="none"/>
        </w:rPr>
        <w:t>。</w:t>
      </w:r>
    </w:p>
    <w:p w14:paraId="0C4E213F">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6.</w:t>
      </w:r>
      <w:r>
        <w:rPr>
          <w:rFonts w:hint="eastAsia" w:ascii="仿宋_GB2312" w:hAnsi="ˎ̥" w:eastAsia="仿宋_GB2312" w:cs="Times New Roman"/>
          <w:b/>
          <w:color w:val="auto"/>
          <w:sz w:val="32"/>
          <w:szCs w:val="32"/>
          <w:highlight w:val="none"/>
        </w:rPr>
        <w:t>城</w:t>
      </w:r>
      <w:r>
        <w:rPr>
          <w:rFonts w:hint="eastAsia" w:ascii="仿宋_GB2312" w:hAnsi="ˎ̥" w:eastAsia="仿宋_GB2312"/>
          <w:b/>
          <w:color w:val="auto"/>
          <w:sz w:val="32"/>
          <w:szCs w:val="32"/>
          <w:highlight w:val="none"/>
        </w:rPr>
        <w:t>乡社区支出（类）其他城乡社区支出（款）其他城乡社区支出（项）</w:t>
      </w:r>
    </w:p>
    <w:p w14:paraId="6151AD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33,489.91</w:t>
      </w:r>
      <w:r>
        <w:rPr>
          <w:rFonts w:hint="eastAsia" w:ascii="仿宋_GB2312" w:hAnsi="ˎ̥" w:eastAsia="仿宋_GB2312"/>
          <w:color w:val="auto"/>
          <w:sz w:val="32"/>
          <w:szCs w:val="32"/>
          <w:highlight w:val="none"/>
        </w:rPr>
        <w:t>万元，支出决算为82</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605.18万元，完成预算的</w:t>
      </w:r>
      <w:r>
        <w:rPr>
          <w:rFonts w:hint="eastAsia" w:ascii="仿宋_GB2312" w:hAnsi="ˎ̥" w:eastAsia="仿宋_GB2312"/>
          <w:color w:val="auto"/>
          <w:sz w:val="32"/>
          <w:szCs w:val="32"/>
          <w:highlight w:val="none"/>
          <w:lang w:val="en-US" w:eastAsia="zh-CN"/>
        </w:rPr>
        <w:t>246.66</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w:t>
      </w:r>
      <w:r>
        <w:rPr>
          <w:rFonts w:hint="eastAsia" w:ascii="仿宋_GB2312" w:hAnsi="ˎ̥" w:eastAsia="仿宋_GB2312"/>
          <w:color w:val="auto"/>
          <w:sz w:val="32"/>
          <w:szCs w:val="32"/>
          <w:highlight w:val="none"/>
          <w:lang w:val="en-US" w:eastAsia="zh-CN"/>
        </w:rPr>
        <w:t>的主要原因：一是：大</w:t>
      </w:r>
      <w:r>
        <w:rPr>
          <w:rFonts w:hint="eastAsia" w:ascii="仿宋_GB2312" w:hAnsi="ˎ̥" w:eastAsia="仿宋_GB2312"/>
          <w:color w:val="auto"/>
          <w:sz w:val="32"/>
          <w:szCs w:val="32"/>
          <w:highlight w:val="none"/>
        </w:rPr>
        <w:t>部分</w:t>
      </w:r>
      <w:r>
        <w:rPr>
          <w:rFonts w:hint="eastAsia" w:ascii="仿宋_GB2312" w:hAnsi="ˎ̥" w:eastAsia="仿宋_GB2312"/>
          <w:color w:val="auto"/>
          <w:sz w:val="32"/>
          <w:szCs w:val="32"/>
          <w:highlight w:val="none"/>
          <w:lang w:val="en-US" w:eastAsia="zh-CN"/>
        </w:rPr>
        <w:t>政府</w:t>
      </w:r>
      <w:r>
        <w:rPr>
          <w:rFonts w:hint="eastAsia" w:ascii="仿宋_GB2312" w:hAnsi="ˎ̥" w:eastAsia="仿宋_GB2312"/>
          <w:color w:val="auto"/>
          <w:sz w:val="32"/>
          <w:szCs w:val="32"/>
          <w:highlight w:val="none"/>
        </w:rPr>
        <w:t>投资项目资金</w:t>
      </w:r>
      <w:r>
        <w:rPr>
          <w:rFonts w:hint="eastAsia" w:ascii="仿宋_GB2312" w:hAnsi="ˎ̥" w:eastAsia="仿宋_GB2312"/>
          <w:color w:val="auto"/>
          <w:sz w:val="32"/>
          <w:szCs w:val="32"/>
          <w:highlight w:val="none"/>
          <w:lang w:val="en-US" w:eastAsia="zh-CN"/>
        </w:rPr>
        <w:t>在年中下达；二是：调整预算项目指标要素，将园区发展资金29,193.89万元从</w:t>
      </w:r>
      <w:r>
        <w:rPr>
          <w:rFonts w:hint="eastAsia" w:ascii="仿宋_GB2312" w:hAnsi="ˎ̥" w:eastAsia="仿宋_GB2312"/>
          <w:b w:val="0"/>
          <w:bCs/>
          <w:color w:val="auto"/>
          <w:sz w:val="32"/>
          <w:szCs w:val="32"/>
          <w:highlight w:val="none"/>
        </w:rPr>
        <w:t>一般公共服务（类）政府办公厅（室）及相关机构事务（款）一般行政管理事务（项）</w:t>
      </w:r>
      <w:r>
        <w:rPr>
          <w:rFonts w:hint="eastAsia" w:ascii="仿宋_GB2312" w:hAnsi="ˎ̥" w:eastAsia="仿宋_GB2312"/>
          <w:b w:val="0"/>
          <w:bCs/>
          <w:color w:val="auto"/>
          <w:sz w:val="32"/>
          <w:szCs w:val="32"/>
          <w:highlight w:val="none"/>
          <w:lang w:val="en-US" w:eastAsia="zh-CN"/>
        </w:rPr>
        <w:t>支出调整至城乡社区支出（类）其他城乡社区支出（款）其他城乡社区支出（项）。</w:t>
      </w:r>
    </w:p>
    <w:p w14:paraId="4763BEAB">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7.</w:t>
      </w:r>
      <w:r>
        <w:rPr>
          <w:rFonts w:hint="eastAsia" w:ascii="仿宋_GB2312" w:hAnsi="ˎ̥" w:eastAsia="仿宋_GB2312" w:cs="Times New Roman"/>
          <w:b/>
          <w:color w:val="auto"/>
          <w:sz w:val="32"/>
          <w:szCs w:val="32"/>
          <w:highlight w:val="none"/>
        </w:rPr>
        <w:t>农林水支出</w:t>
      </w:r>
      <w:r>
        <w:rPr>
          <w:rFonts w:hint="eastAsia" w:ascii="仿宋_GB2312" w:hAnsi="ˎ̥" w:eastAsia="仿宋_GB2312"/>
          <w:b/>
          <w:color w:val="auto"/>
          <w:sz w:val="32"/>
          <w:szCs w:val="32"/>
          <w:highlight w:val="none"/>
        </w:rPr>
        <w:t>（类）水利（款）水利工程建设（项）</w:t>
      </w:r>
    </w:p>
    <w:p w14:paraId="75988E35">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元，支出决算为1</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278.29万元。决算数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是美兰区年中退回国债资金用于项目建设支出，无年初预算</w:t>
      </w:r>
      <w:r>
        <w:rPr>
          <w:rFonts w:hint="eastAsia" w:ascii="仿宋_GB2312" w:hAnsi="ˎ̥" w:eastAsia="仿宋_GB2312"/>
          <w:color w:val="auto"/>
          <w:sz w:val="32"/>
          <w:szCs w:val="32"/>
          <w:highlight w:val="none"/>
        </w:rPr>
        <w:t>。</w:t>
      </w:r>
    </w:p>
    <w:p w14:paraId="19B3E622">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8.</w:t>
      </w:r>
      <w:r>
        <w:rPr>
          <w:rFonts w:hint="eastAsia" w:ascii="仿宋_GB2312" w:hAnsi="ˎ̥" w:eastAsia="仿宋_GB2312" w:cs="Times New Roman"/>
          <w:b/>
          <w:color w:val="auto"/>
          <w:sz w:val="32"/>
          <w:szCs w:val="32"/>
          <w:highlight w:val="none"/>
        </w:rPr>
        <w:t>农林水支出</w:t>
      </w:r>
      <w:r>
        <w:rPr>
          <w:rFonts w:hint="eastAsia" w:ascii="仿宋_GB2312" w:hAnsi="ˎ̥" w:eastAsia="仿宋_GB2312"/>
          <w:b/>
          <w:color w:val="auto"/>
          <w:sz w:val="32"/>
          <w:szCs w:val="32"/>
          <w:highlight w:val="none"/>
        </w:rPr>
        <w:t>（类）水利（款）</w:t>
      </w:r>
      <w:r>
        <w:rPr>
          <w:rFonts w:hint="eastAsia" w:ascii="仿宋_GB2312" w:hAnsi="ˎ̥" w:eastAsia="仿宋_GB2312"/>
          <w:b/>
          <w:color w:val="auto"/>
          <w:sz w:val="32"/>
          <w:szCs w:val="32"/>
          <w:highlight w:val="none"/>
          <w:lang w:val="en-US" w:eastAsia="zh-CN"/>
        </w:rPr>
        <w:t>其他</w:t>
      </w:r>
      <w:r>
        <w:rPr>
          <w:rFonts w:hint="eastAsia" w:ascii="仿宋_GB2312" w:hAnsi="ˎ̥" w:eastAsia="仿宋_GB2312"/>
          <w:b/>
          <w:color w:val="auto"/>
          <w:sz w:val="32"/>
          <w:szCs w:val="32"/>
          <w:highlight w:val="none"/>
        </w:rPr>
        <w:t>水利工程建设（项）</w:t>
      </w:r>
    </w:p>
    <w:p w14:paraId="1F864799">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元，支出决算为37.17万元。决算数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是年中根据指标要素调整海口市排管网排查清淤修复经费，无年初预算</w:t>
      </w:r>
      <w:r>
        <w:rPr>
          <w:rFonts w:hint="eastAsia" w:ascii="仿宋_GB2312" w:hAnsi="ˎ̥" w:eastAsia="仿宋_GB2312"/>
          <w:color w:val="auto"/>
          <w:sz w:val="32"/>
          <w:szCs w:val="32"/>
          <w:highlight w:val="none"/>
        </w:rPr>
        <w:t>。</w:t>
      </w:r>
    </w:p>
    <w:p w14:paraId="20539A9F">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9.</w:t>
      </w:r>
      <w:r>
        <w:rPr>
          <w:rFonts w:hint="eastAsia" w:ascii="仿宋_GB2312" w:hAnsi="ˎ̥" w:eastAsia="仿宋_GB2312" w:cs="Times New Roman"/>
          <w:b/>
          <w:color w:val="auto"/>
          <w:sz w:val="32"/>
          <w:szCs w:val="32"/>
          <w:highlight w:val="none"/>
        </w:rPr>
        <w:t>资源勘探工业信息等支出</w:t>
      </w:r>
      <w:r>
        <w:rPr>
          <w:rFonts w:hint="eastAsia" w:ascii="仿宋_GB2312" w:hAnsi="ˎ̥" w:eastAsia="仿宋_GB2312"/>
          <w:b/>
          <w:color w:val="auto"/>
          <w:sz w:val="32"/>
          <w:szCs w:val="32"/>
          <w:highlight w:val="none"/>
        </w:rPr>
        <w:t>（类）支持中小企业发展和管理支出（款）</w:t>
      </w:r>
      <w:r>
        <w:rPr>
          <w:rFonts w:hint="eastAsia" w:ascii="仿宋_GB2312" w:hAnsi="ˎ̥" w:eastAsia="仿宋_GB2312"/>
          <w:b/>
          <w:color w:val="auto"/>
          <w:sz w:val="32"/>
          <w:szCs w:val="32"/>
          <w:highlight w:val="none"/>
          <w:lang w:val="en-US" w:eastAsia="zh-CN"/>
        </w:rPr>
        <w:t>中小企业发展专项</w:t>
      </w:r>
      <w:r>
        <w:rPr>
          <w:rFonts w:hint="eastAsia" w:ascii="仿宋_GB2312" w:hAnsi="ˎ̥" w:eastAsia="仿宋_GB2312"/>
          <w:b/>
          <w:color w:val="auto"/>
          <w:sz w:val="32"/>
          <w:szCs w:val="32"/>
          <w:highlight w:val="none"/>
        </w:rPr>
        <w:t>（项）</w:t>
      </w:r>
    </w:p>
    <w:p w14:paraId="6E689430">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20万</w:t>
      </w:r>
      <w:r>
        <w:rPr>
          <w:rFonts w:hint="eastAsia" w:ascii="仿宋_GB2312" w:hAnsi="ˎ̥" w:eastAsia="仿宋_GB2312"/>
          <w:color w:val="auto"/>
          <w:sz w:val="32"/>
          <w:szCs w:val="32"/>
          <w:highlight w:val="none"/>
        </w:rPr>
        <w:t>元，支出决算为19.4万元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完成预算的</w:t>
      </w:r>
      <w:r>
        <w:rPr>
          <w:rFonts w:hint="eastAsia" w:ascii="仿宋_GB2312" w:hAnsi="ˎ̥" w:eastAsia="仿宋_GB2312"/>
          <w:color w:val="auto"/>
          <w:sz w:val="32"/>
          <w:szCs w:val="32"/>
          <w:highlight w:val="none"/>
          <w:lang w:val="en-US" w:eastAsia="zh-CN"/>
        </w:rPr>
        <w:t>97</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与预算数基本持平</w:t>
      </w:r>
      <w:r>
        <w:rPr>
          <w:rFonts w:hint="eastAsia" w:ascii="仿宋_GB2312" w:hAnsi="ˎ̥" w:eastAsia="仿宋_GB2312"/>
          <w:color w:val="auto"/>
          <w:sz w:val="32"/>
          <w:szCs w:val="32"/>
          <w:highlight w:val="none"/>
        </w:rPr>
        <w:t>。</w:t>
      </w:r>
    </w:p>
    <w:p w14:paraId="39DA513E">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10.</w:t>
      </w:r>
      <w:r>
        <w:rPr>
          <w:rFonts w:hint="eastAsia" w:ascii="仿宋_GB2312" w:hAnsi="ˎ̥" w:eastAsia="仿宋_GB2312" w:cs="Times New Roman"/>
          <w:b/>
          <w:color w:val="auto"/>
          <w:sz w:val="32"/>
          <w:szCs w:val="32"/>
          <w:highlight w:val="none"/>
        </w:rPr>
        <w:t>资源勘探工业信息等支出</w:t>
      </w:r>
      <w:r>
        <w:rPr>
          <w:rFonts w:hint="eastAsia" w:ascii="仿宋_GB2312" w:hAnsi="ˎ̥" w:eastAsia="仿宋_GB2312"/>
          <w:b/>
          <w:color w:val="auto"/>
          <w:sz w:val="32"/>
          <w:szCs w:val="32"/>
          <w:highlight w:val="none"/>
        </w:rPr>
        <w:t>（类）其他资源勘探工业信息等支出（款）</w:t>
      </w:r>
      <w:r>
        <w:rPr>
          <w:rFonts w:hint="eastAsia" w:ascii="仿宋_GB2312" w:hAnsi="ˎ̥" w:eastAsia="仿宋_GB2312"/>
          <w:b/>
          <w:color w:val="auto"/>
          <w:sz w:val="32"/>
          <w:szCs w:val="32"/>
          <w:highlight w:val="none"/>
          <w:lang w:val="en-US" w:eastAsia="zh-CN"/>
        </w:rPr>
        <w:t>其他资源勘探工业信息等支出</w:t>
      </w:r>
      <w:r>
        <w:rPr>
          <w:rFonts w:hint="eastAsia" w:ascii="仿宋_GB2312" w:hAnsi="ˎ̥" w:eastAsia="仿宋_GB2312"/>
          <w:b/>
          <w:color w:val="auto"/>
          <w:sz w:val="32"/>
          <w:szCs w:val="32"/>
          <w:highlight w:val="none"/>
        </w:rPr>
        <w:t>（项）</w:t>
      </w:r>
    </w:p>
    <w:p w14:paraId="6E1F0694">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10,000万</w:t>
      </w:r>
      <w:r>
        <w:rPr>
          <w:rFonts w:hint="eastAsia" w:ascii="仿宋_GB2312" w:hAnsi="ˎ̥" w:eastAsia="仿宋_GB2312"/>
          <w:color w:val="auto"/>
          <w:sz w:val="32"/>
          <w:szCs w:val="32"/>
          <w:highlight w:val="none"/>
        </w:rPr>
        <w:t>元，支出决算为9</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700万元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完成预算的</w:t>
      </w:r>
      <w:r>
        <w:rPr>
          <w:rFonts w:hint="eastAsia" w:ascii="仿宋_GB2312" w:hAnsi="ˎ̥" w:eastAsia="仿宋_GB2312"/>
          <w:color w:val="auto"/>
          <w:sz w:val="32"/>
          <w:szCs w:val="32"/>
          <w:highlight w:val="none"/>
          <w:lang w:val="en-US" w:eastAsia="zh-CN"/>
        </w:rPr>
        <w:t>97</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与预算数基本持平</w:t>
      </w:r>
      <w:r>
        <w:rPr>
          <w:rFonts w:hint="eastAsia" w:ascii="仿宋_GB2312" w:hAnsi="ˎ̥" w:eastAsia="仿宋_GB2312"/>
          <w:color w:val="auto"/>
          <w:sz w:val="32"/>
          <w:szCs w:val="32"/>
          <w:highlight w:val="none"/>
        </w:rPr>
        <w:t>。</w:t>
      </w:r>
    </w:p>
    <w:p w14:paraId="6655CB81">
      <w:pPr>
        <w:ind w:firstLine="643" w:firstLineChars="200"/>
        <w:rPr>
          <w:rFonts w:hint="eastAsia" w:ascii="仿宋_GB2312" w:hAnsi="ˎ̥" w:eastAsia="仿宋_GB2312"/>
          <w:b/>
          <w:color w:val="auto"/>
          <w:sz w:val="32"/>
          <w:szCs w:val="32"/>
          <w:highlight w:val="none"/>
          <w:lang w:val="en-US" w:eastAsia="zh-CN"/>
        </w:rPr>
      </w:pPr>
      <w:r>
        <w:rPr>
          <w:rFonts w:hint="eastAsia" w:ascii="仿宋_GB2312" w:hAnsi="ˎ̥" w:eastAsia="仿宋_GB2312" w:cs="Times New Roman"/>
          <w:b/>
          <w:color w:val="auto"/>
          <w:sz w:val="32"/>
          <w:szCs w:val="32"/>
          <w:highlight w:val="none"/>
          <w:lang w:val="en-US" w:eastAsia="zh-CN"/>
        </w:rPr>
        <w:t>11.</w:t>
      </w:r>
      <w:r>
        <w:rPr>
          <w:rFonts w:hint="eastAsia" w:ascii="仿宋_GB2312" w:hAnsi="ˎ̥" w:eastAsia="仿宋_GB2312" w:cs="Times New Roman"/>
          <w:b/>
          <w:color w:val="auto"/>
          <w:sz w:val="32"/>
          <w:szCs w:val="32"/>
          <w:highlight w:val="none"/>
        </w:rPr>
        <w:t>其他支出</w:t>
      </w:r>
      <w:r>
        <w:rPr>
          <w:rFonts w:hint="eastAsia" w:ascii="仿宋_GB2312" w:hAnsi="ˎ̥" w:eastAsia="仿宋_GB2312"/>
          <w:b/>
          <w:color w:val="auto"/>
          <w:sz w:val="32"/>
          <w:szCs w:val="32"/>
          <w:highlight w:val="none"/>
        </w:rPr>
        <w:t>（类）其他支出（款）</w:t>
      </w:r>
      <w:r>
        <w:rPr>
          <w:rFonts w:hint="eastAsia" w:ascii="仿宋_GB2312" w:hAnsi="ˎ̥" w:eastAsia="仿宋_GB2312"/>
          <w:b/>
          <w:color w:val="auto"/>
          <w:sz w:val="32"/>
          <w:szCs w:val="32"/>
          <w:highlight w:val="none"/>
          <w:lang w:val="en-US" w:eastAsia="zh-CN"/>
        </w:rPr>
        <w:t>其他支出</w:t>
      </w:r>
      <w:r>
        <w:rPr>
          <w:rFonts w:hint="eastAsia" w:ascii="仿宋_GB2312" w:hAnsi="ˎ̥" w:eastAsia="仿宋_GB2312"/>
          <w:b/>
          <w:color w:val="auto"/>
          <w:sz w:val="32"/>
          <w:szCs w:val="32"/>
          <w:highlight w:val="none"/>
        </w:rPr>
        <w:t>（项）</w:t>
      </w:r>
    </w:p>
    <w:p w14:paraId="548106B5">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1,954.95万</w:t>
      </w:r>
      <w:r>
        <w:rPr>
          <w:rFonts w:hint="eastAsia" w:ascii="仿宋_GB2312" w:hAnsi="ˎ̥" w:eastAsia="仿宋_GB2312"/>
          <w:color w:val="auto"/>
          <w:sz w:val="32"/>
          <w:szCs w:val="32"/>
          <w:highlight w:val="none"/>
        </w:rPr>
        <w:t>元，支出决算为1</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785.84万元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完成预算的</w:t>
      </w:r>
      <w:r>
        <w:rPr>
          <w:rFonts w:hint="eastAsia" w:ascii="仿宋_GB2312" w:hAnsi="ˎ̥" w:eastAsia="仿宋_GB2312"/>
          <w:color w:val="auto"/>
          <w:sz w:val="32"/>
          <w:szCs w:val="32"/>
          <w:highlight w:val="none"/>
          <w:lang w:val="en-US" w:eastAsia="zh-CN"/>
        </w:rPr>
        <w:t>91.35</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与预算数基本持平</w:t>
      </w:r>
      <w:r>
        <w:rPr>
          <w:rFonts w:hint="eastAsia" w:ascii="仿宋_GB2312" w:hAnsi="ˎ̥" w:eastAsia="仿宋_GB2312"/>
          <w:color w:val="auto"/>
          <w:sz w:val="32"/>
          <w:szCs w:val="32"/>
          <w:highlight w:val="none"/>
        </w:rPr>
        <w:t>。</w:t>
      </w:r>
    </w:p>
    <w:p w14:paraId="135D7BB3">
      <w:pPr>
        <w:pStyle w:val="2"/>
        <w:rPr>
          <w:rFonts w:hint="eastAsia"/>
        </w:rPr>
      </w:pPr>
    </w:p>
    <w:p w14:paraId="6EAB98C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14:paraId="7C802535">
      <w:pPr>
        <w:widowControl w:val="0"/>
        <w:ind w:firstLine="640" w:firstLineChars="200"/>
        <w:jc w:val="both"/>
        <w:rPr>
          <w:rFonts w:hint="eastAsia" w:ascii="仿宋_GB2312" w:hAnsi="ˎ̥" w:eastAsia="仿宋_GB2312" w:cs="Times New Roman"/>
          <w:color w:val="auto"/>
          <w:kern w:val="2"/>
          <w:sz w:val="32"/>
          <w:szCs w:val="32"/>
          <w:highlight w:val="none"/>
          <w:lang w:val="en-US" w:eastAsia="zh-CN" w:bidi="ar-SA"/>
        </w:rPr>
      </w:pPr>
      <w:r>
        <w:rPr>
          <w:rFonts w:hint="eastAsia" w:ascii="仿宋_GB2312" w:hAnsi="ˎ̥" w:eastAsia="仿宋_GB2312" w:cs="Times New Roman"/>
          <w:color w:val="auto"/>
          <w:kern w:val="2"/>
          <w:sz w:val="32"/>
          <w:szCs w:val="32"/>
          <w:highlight w:val="none"/>
          <w:lang w:val="en-US" w:eastAsia="zh-CN" w:bidi="ar-SA"/>
        </w:rPr>
        <w:t>无此类事项。</w:t>
      </w:r>
    </w:p>
    <w:p w14:paraId="2DDC2DB1">
      <w:pPr>
        <w:pStyle w:val="2"/>
        <w:rPr>
          <w:rFonts w:hint="eastAsia"/>
        </w:rPr>
      </w:pPr>
    </w:p>
    <w:p w14:paraId="7241B08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七、政府性基金预算财政拨款支出决算情况说明</w:t>
      </w:r>
    </w:p>
    <w:p w14:paraId="643B855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（一）政府性基金预算财政拨款支出决算总体情况</w:t>
      </w:r>
    </w:p>
    <w:p w14:paraId="56C13CA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年度政府性基金预算财政拨款支出</w:t>
      </w:r>
      <w:r>
        <w:rPr>
          <w:rFonts w:hint="eastAsia" w:ascii="仿宋" w:hAnsi="仿宋" w:eastAsia="仿宋" w:cs="仿宋"/>
          <w:color w:val="auto"/>
          <w:sz w:val="32"/>
          <w:szCs w:val="32"/>
          <w:lang w:val="en-US"/>
        </w:rPr>
        <w:t>340,289.60</w:t>
      </w:r>
      <w:r>
        <w:rPr>
          <w:rFonts w:hint="eastAsia" w:ascii="仿宋" w:hAnsi="仿宋" w:eastAsia="仿宋" w:cs="仿宋"/>
          <w:color w:val="auto"/>
          <w:sz w:val="32"/>
          <w:szCs w:val="32"/>
        </w:rPr>
        <w:t>万元，占本年支出合计的</w:t>
      </w:r>
      <w:r>
        <w:rPr>
          <w:rFonts w:hint="eastAsia" w:ascii="仿宋_GB2312" w:hAnsi="仿宋" w:eastAsia="仿宋_GB2312" w:cs="Times New Roman"/>
          <w:color w:val="auto"/>
          <w:sz w:val="32"/>
          <w:szCs w:val="32"/>
          <w:highlight w:val="none"/>
          <w:lang w:val="en-US" w:eastAsia="zh-CN"/>
        </w:rPr>
        <w:t>71.92</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年度相比，政府性基金预算财政拨款支出减少</w:t>
      </w:r>
      <w:r>
        <w:rPr>
          <w:rFonts w:hint="eastAsia" w:ascii="仿宋" w:hAnsi="仿宋" w:eastAsia="仿宋" w:cs="仿宋"/>
          <w:color w:val="auto"/>
          <w:sz w:val="32"/>
          <w:szCs w:val="32"/>
          <w:lang w:val="en-US"/>
        </w:rPr>
        <w:t>606</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584.57</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64.06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2025年度</w:t>
      </w:r>
      <w:r>
        <w:rPr>
          <w:rFonts w:hint="eastAsia" w:ascii="仿宋_GB2312" w:hAnsi="仿宋" w:eastAsia="仿宋_GB2312"/>
          <w:color w:val="auto"/>
          <w:sz w:val="32"/>
          <w:szCs w:val="32"/>
          <w:lang w:val="en-US" w:eastAsia="zh-CN"/>
        </w:rPr>
        <w:t>政府投资项目投资额降低</w:t>
      </w:r>
      <w:r>
        <w:rPr>
          <w:rFonts w:hint="eastAsia" w:ascii="仿宋" w:hAnsi="仿宋" w:eastAsia="仿宋" w:cs="仿宋"/>
          <w:color w:val="auto"/>
          <w:sz w:val="32"/>
          <w:szCs w:val="32"/>
        </w:rPr>
        <w:t>。</w:t>
      </w:r>
    </w:p>
    <w:p w14:paraId="06BD91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（二）政府性基金预算财政拨款支出决算结构情况</w:t>
      </w:r>
    </w:p>
    <w:p w14:paraId="544392A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年度政府性基金预算财政拨款支出</w:t>
      </w:r>
      <w:r>
        <w:rPr>
          <w:rFonts w:hint="eastAsia" w:ascii="仿宋" w:hAnsi="仿宋" w:eastAsia="仿宋" w:cs="仿宋"/>
          <w:color w:val="auto"/>
          <w:sz w:val="32"/>
          <w:szCs w:val="32"/>
          <w:lang w:val="en-US"/>
        </w:rPr>
        <w:t>340,289.60</w:t>
      </w:r>
      <w:r>
        <w:rPr>
          <w:rFonts w:hint="eastAsia" w:ascii="仿宋" w:hAnsi="仿宋" w:eastAsia="仿宋" w:cs="仿宋"/>
          <w:color w:val="auto"/>
          <w:sz w:val="32"/>
          <w:szCs w:val="32"/>
        </w:rPr>
        <w:t>万元，主要用于以下方面：</w:t>
      </w:r>
      <w:r>
        <w:rPr>
          <w:rFonts w:hint="eastAsia" w:ascii="仿宋_GB2312" w:hAnsi="ˎ̥" w:eastAsia="仿宋_GB2312"/>
          <w:b/>
          <w:bCs/>
          <w:color w:val="auto"/>
          <w:sz w:val="32"/>
          <w:szCs w:val="32"/>
          <w:highlight w:val="none"/>
        </w:rPr>
        <w:t>城乡社区（类）</w:t>
      </w:r>
      <w:r>
        <w:rPr>
          <w:rFonts w:hint="eastAsia" w:ascii="仿宋_GB2312" w:hAnsi="ˎ̥" w:eastAsia="仿宋_GB2312"/>
          <w:color w:val="auto"/>
          <w:sz w:val="32"/>
          <w:szCs w:val="32"/>
          <w:highlight w:val="none"/>
        </w:rPr>
        <w:t>支出6</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806.46万元，占</w:t>
      </w:r>
      <w:r>
        <w:rPr>
          <w:rFonts w:hint="eastAsia" w:ascii="仿宋_GB2312" w:hAnsi="ˎ̥" w:eastAsia="仿宋_GB2312"/>
          <w:color w:val="auto"/>
          <w:sz w:val="32"/>
          <w:szCs w:val="32"/>
          <w:highlight w:val="none"/>
          <w:lang w:val="en-US" w:eastAsia="zh-CN"/>
        </w:rPr>
        <w:t>2</w:t>
      </w:r>
      <w:r>
        <w:rPr>
          <w:rFonts w:hint="eastAsia" w:ascii="仿宋_GB2312" w:hAnsi="ˎ̥" w:eastAsia="仿宋_GB2312"/>
          <w:color w:val="auto"/>
          <w:sz w:val="32"/>
          <w:szCs w:val="32"/>
          <w:highlight w:val="none"/>
        </w:rPr>
        <w:t>%；</w:t>
      </w:r>
      <w:r>
        <w:rPr>
          <w:rFonts w:hint="eastAsia" w:ascii="仿宋_GB2312" w:hAnsi="ˎ̥" w:eastAsia="仿宋_GB2312"/>
          <w:b/>
          <w:bCs/>
          <w:color w:val="auto"/>
          <w:sz w:val="32"/>
          <w:szCs w:val="32"/>
          <w:highlight w:val="none"/>
          <w:lang w:val="en-US" w:eastAsia="zh-CN"/>
        </w:rPr>
        <w:t>其他</w:t>
      </w:r>
      <w:r>
        <w:rPr>
          <w:rFonts w:hint="eastAsia" w:ascii="仿宋_GB2312" w:hAnsi="ˎ̥" w:eastAsia="仿宋_GB2312"/>
          <w:b/>
          <w:color w:val="auto"/>
          <w:sz w:val="32"/>
          <w:szCs w:val="32"/>
          <w:highlight w:val="none"/>
        </w:rPr>
        <w:t>（类）</w:t>
      </w:r>
      <w:r>
        <w:rPr>
          <w:rFonts w:hint="eastAsia" w:ascii="仿宋_GB2312" w:hAnsi="ˎ̥" w:eastAsia="仿宋_GB2312"/>
          <w:color w:val="auto"/>
          <w:sz w:val="32"/>
          <w:szCs w:val="32"/>
          <w:highlight w:val="none"/>
        </w:rPr>
        <w:t>支出333</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483.13万元，占</w:t>
      </w:r>
      <w:r>
        <w:rPr>
          <w:rFonts w:hint="eastAsia" w:ascii="仿宋_GB2312" w:hAnsi="ˎ̥" w:eastAsia="仿宋_GB2312"/>
          <w:color w:val="auto"/>
          <w:sz w:val="32"/>
          <w:szCs w:val="32"/>
          <w:highlight w:val="none"/>
          <w:lang w:val="en-US" w:eastAsia="zh-CN"/>
        </w:rPr>
        <w:t>98</w:t>
      </w:r>
      <w:r>
        <w:rPr>
          <w:rFonts w:hint="eastAsia" w:ascii="仿宋_GB2312" w:hAnsi="ˎ̥" w:eastAsia="仿宋_GB2312"/>
          <w:color w:val="auto"/>
          <w:sz w:val="32"/>
          <w:szCs w:val="32"/>
          <w:highlight w:val="none"/>
        </w:rPr>
        <w:t>%。</w:t>
      </w:r>
    </w:p>
    <w:p w14:paraId="2AA579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（三）政府性基金预算财政拨款支出决算具体情况</w:t>
      </w:r>
    </w:p>
    <w:p w14:paraId="184DD0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年度政府性基金预算财政拨款支出年初预算为</w:t>
      </w:r>
      <w:r>
        <w:rPr>
          <w:rFonts w:hint="eastAsia" w:ascii="仿宋" w:hAnsi="仿宋" w:eastAsia="仿宋" w:cs="仿宋"/>
          <w:color w:val="auto"/>
          <w:sz w:val="32"/>
          <w:szCs w:val="32"/>
          <w:lang w:val="en-US"/>
        </w:rPr>
        <w:t>18,960.15</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340,289.60</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1794.76</w:t>
      </w:r>
      <w:r>
        <w:rPr>
          <w:rFonts w:hint="eastAsia" w:ascii="仿宋" w:hAnsi="仿宋" w:eastAsia="仿宋" w:cs="仿宋"/>
          <w:color w:val="auto"/>
          <w:sz w:val="32"/>
          <w:szCs w:val="32"/>
        </w:rPr>
        <w:t>%。其中：</w:t>
      </w:r>
    </w:p>
    <w:p w14:paraId="5D9BE7DC">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1.</w:t>
      </w:r>
      <w:r>
        <w:rPr>
          <w:rFonts w:hint="eastAsia" w:ascii="仿宋_GB2312" w:hAnsi="ˎ̥" w:eastAsia="仿宋_GB2312"/>
          <w:b/>
          <w:bCs/>
          <w:color w:val="auto"/>
          <w:sz w:val="32"/>
          <w:szCs w:val="32"/>
          <w:highlight w:val="none"/>
        </w:rPr>
        <w:t>城乡社区支出（类）国有土地使用权出让收入安排的支出（款）城市建设支出（项）</w:t>
      </w:r>
    </w:p>
    <w:p w14:paraId="47343B9E">
      <w:pPr>
        <w:ind w:firstLine="640" w:firstLineChars="200"/>
        <w:rPr>
          <w:rFonts w:hint="eastAsia"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元，支出决算为1</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020.9万元。决算数</w:t>
      </w:r>
      <w:r>
        <w:rPr>
          <w:rFonts w:hint="eastAsia" w:ascii="仿宋_GB2312" w:hAnsi="ˎ̥" w:eastAsia="仿宋_GB2312"/>
          <w:color w:val="auto"/>
          <w:sz w:val="32"/>
          <w:szCs w:val="32"/>
          <w:highlight w:val="none"/>
          <w:lang w:val="en-US" w:eastAsia="zh-CN"/>
        </w:rPr>
        <w:t>大</w:t>
      </w:r>
      <w:r>
        <w:rPr>
          <w:rFonts w:hint="eastAsia" w:ascii="仿宋_GB2312" w:hAnsi="ˎ̥" w:eastAsia="仿宋_GB2312"/>
          <w:color w:val="auto"/>
          <w:sz w:val="32"/>
          <w:szCs w:val="32"/>
          <w:highlight w:val="none"/>
        </w:rPr>
        <w:t>于预算数主要原因</w:t>
      </w:r>
      <w:r>
        <w:rPr>
          <w:rFonts w:hint="eastAsia" w:ascii="仿宋_GB2312" w:hAnsi="ˎ̥" w:eastAsia="仿宋_GB2312"/>
          <w:color w:val="auto"/>
          <w:sz w:val="32"/>
          <w:szCs w:val="32"/>
          <w:highlight w:val="none"/>
          <w:lang w:val="en-US" w:eastAsia="zh-CN"/>
        </w:rPr>
        <w:t>是财政</w:t>
      </w:r>
      <w:r>
        <w:rPr>
          <w:rFonts w:hint="eastAsia" w:ascii="仿宋_GB2312" w:hAnsi="ˎ̥" w:eastAsia="仿宋_GB2312"/>
          <w:color w:val="auto"/>
          <w:sz w:val="32"/>
          <w:szCs w:val="32"/>
          <w:highlight w:val="none"/>
        </w:rPr>
        <w:t>年</w:t>
      </w:r>
      <w:r>
        <w:rPr>
          <w:rFonts w:hint="eastAsia" w:ascii="仿宋_GB2312" w:hAnsi="ˎ̥" w:eastAsia="仿宋_GB2312"/>
          <w:color w:val="auto"/>
          <w:sz w:val="32"/>
          <w:szCs w:val="32"/>
          <w:highlight w:val="none"/>
          <w:lang w:val="en-US" w:eastAsia="zh-CN"/>
        </w:rPr>
        <w:t>中根据项目建设需要下达政府投资项目资金，无年初预算</w:t>
      </w:r>
      <w:r>
        <w:rPr>
          <w:rFonts w:hint="eastAsia" w:ascii="仿宋_GB2312" w:hAnsi="ˎ̥" w:eastAsia="仿宋_GB2312"/>
          <w:color w:val="auto"/>
          <w:sz w:val="32"/>
          <w:szCs w:val="32"/>
          <w:highlight w:val="none"/>
        </w:rPr>
        <w:t>。</w:t>
      </w:r>
    </w:p>
    <w:p w14:paraId="2BF702CA">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2.</w:t>
      </w:r>
      <w:r>
        <w:rPr>
          <w:rFonts w:hint="eastAsia" w:ascii="仿宋_GB2312" w:hAnsi="ˎ̥" w:eastAsia="仿宋_GB2312"/>
          <w:b/>
          <w:bCs/>
          <w:color w:val="auto"/>
          <w:sz w:val="32"/>
          <w:szCs w:val="32"/>
          <w:highlight w:val="none"/>
        </w:rPr>
        <w:t>城乡社区支出（类）国有土地使用权出让收入安排的支出（款）农业生产发展支出（项）</w:t>
      </w:r>
    </w:p>
    <w:p w14:paraId="4126EEF3">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元，支出决算为33.57万元。决算数</w:t>
      </w:r>
      <w:r>
        <w:rPr>
          <w:rFonts w:hint="eastAsia" w:ascii="仿宋_GB2312" w:hAnsi="ˎ̥" w:eastAsia="仿宋_GB2312"/>
          <w:color w:val="auto"/>
          <w:sz w:val="32"/>
          <w:szCs w:val="32"/>
          <w:highlight w:val="none"/>
          <w:lang w:val="en-US" w:eastAsia="zh-CN"/>
        </w:rPr>
        <w:t>大</w:t>
      </w:r>
      <w:r>
        <w:rPr>
          <w:rFonts w:hint="eastAsia" w:ascii="仿宋_GB2312" w:hAnsi="ˎ̥" w:eastAsia="仿宋_GB2312"/>
          <w:color w:val="auto"/>
          <w:sz w:val="32"/>
          <w:szCs w:val="32"/>
          <w:highlight w:val="none"/>
        </w:rPr>
        <w:t>于预算数主要原因</w:t>
      </w:r>
      <w:r>
        <w:rPr>
          <w:rFonts w:hint="eastAsia" w:ascii="仿宋_GB2312" w:hAnsi="ˎ̥" w:eastAsia="仿宋_GB2312"/>
          <w:color w:val="auto"/>
          <w:sz w:val="32"/>
          <w:szCs w:val="32"/>
          <w:highlight w:val="none"/>
          <w:lang w:val="en-US" w:eastAsia="zh-CN"/>
        </w:rPr>
        <w:t>是财政</w:t>
      </w:r>
      <w:r>
        <w:rPr>
          <w:rFonts w:hint="eastAsia" w:ascii="仿宋_GB2312" w:hAnsi="ˎ̥" w:eastAsia="仿宋_GB2312"/>
          <w:color w:val="auto"/>
          <w:sz w:val="32"/>
          <w:szCs w:val="32"/>
          <w:highlight w:val="none"/>
        </w:rPr>
        <w:t>年</w:t>
      </w:r>
      <w:r>
        <w:rPr>
          <w:rFonts w:hint="eastAsia" w:ascii="仿宋_GB2312" w:hAnsi="ˎ̥" w:eastAsia="仿宋_GB2312"/>
          <w:color w:val="auto"/>
          <w:sz w:val="32"/>
          <w:szCs w:val="32"/>
          <w:highlight w:val="none"/>
          <w:lang w:val="en-US" w:eastAsia="zh-CN"/>
        </w:rPr>
        <w:t>中根据项目建设需要下达政府投资项目资金，无年初预算</w:t>
      </w:r>
      <w:r>
        <w:rPr>
          <w:rFonts w:hint="eastAsia" w:ascii="仿宋_GB2312" w:hAnsi="ˎ̥" w:eastAsia="仿宋_GB2312"/>
          <w:color w:val="auto"/>
          <w:sz w:val="32"/>
          <w:szCs w:val="32"/>
          <w:highlight w:val="none"/>
        </w:rPr>
        <w:t>。</w:t>
      </w:r>
    </w:p>
    <w:p w14:paraId="02B950C3">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3.</w:t>
      </w:r>
      <w:r>
        <w:rPr>
          <w:rFonts w:hint="eastAsia" w:ascii="仿宋_GB2312" w:hAnsi="ˎ̥" w:eastAsia="仿宋_GB2312"/>
          <w:b/>
          <w:bCs/>
          <w:color w:val="auto"/>
          <w:sz w:val="32"/>
          <w:szCs w:val="32"/>
          <w:highlight w:val="none"/>
        </w:rPr>
        <w:t>城乡社区支出（类）国有土地使用权出让收入安排的支出（款）其他国有土地使用权出让收入安排的支出（项）</w:t>
      </w:r>
    </w:p>
    <w:p w14:paraId="79828CCD">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3,294.76</w:t>
      </w:r>
      <w:r>
        <w:rPr>
          <w:rFonts w:hint="eastAsia" w:ascii="仿宋_GB2312" w:hAnsi="ˎ̥" w:eastAsia="仿宋_GB2312"/>
          <w:color w:val="auto"/>
          <w:sz w:val="32"/>
          <w:szCs w:val="32"/>
          <w:highlight w:val="none"/>
        </w:rPr>
        <w:t>元，支出决算为99.19万元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完成预算的3.01%。</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小</w:t>
      </w:r>
      <w:r>
        <w:rPr>
          <w:rFonts w:hint="eastAsia" w:ascii="仿宋_GB2312" w:hAnsi="ˎ̥" w:eastAsia="仿宋_GB2312"/>
          <w:color w:val="auto"/>
          <w:sz w:val="32"/>
          <w:szCs w:val="32"/>
          <w:highlight w:val="none"/>
        </w:rPr>
        <w:t>于预算数主要原因</w:t>
      </w:r>
      <w:r>
        <w:rPr>
          <w:rFonts w:hint="eastAsia" w:ascii="仿宋_GB2312" w:hAnsi="ˎ̥" w:eastAsia="仿宋_GB2312"/>
          <w:color w:val="auto"/>
          <w:sz w:val="32"/>
          <w:szCs w:val="32"/>
          <w:highlight w:val="none"/>
          <w:lang w:val="en-US" w:eastAsia="zh-CN"/>
        </w:rPr>
        <w:t>是年中根据财政要求更正指标要素，将顺达路（机场北路南段）市政道路工程项目3,057.82万元从城乡社区支出（类）国有土地使用权出让收入安排的支出（款）其他国有土地使用权出让收入安排的支出（项）调整至城乡社区支出（类）城乡社区公共设施（款）其他城乡社区公共设施支出（项）</w:t>
      </w:r>
      <w:r>
        <w:rPr>
          <w:rFonts w:hint="eastAsia" w:ascii="仿宋_GB2312" w:hAnsi="ˎ̥" w:eastAsia="仿宋_GB2312"/>
          <w:color w:val="auto"/>
          <w:sz w:val="32"/>
          <w:szCs w:val="32"/>
          <w:highlight w:val="none"/>
        </w:rPr>
        <w:t>。</w:t>
      </w:r>
    </w:p>
    <w:p w14:paraId="244FE879">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4.</w:t>
      </w:r>
      <w:r>
        <w:rPr>
          <w:rFonts w:hint="eastAsia" w:ascii="仿宋_GB2312" w:hAnsi="ˎ̥" w:eastAsia="仿宋_GB2312"/>
          <w:b/>
          <w:bCs/>
          <w:color w:val="auto"/>
          <w:sz w:val="32"/>
          <w:szCs w:val="32"/>
          <w:highlight w:val="none"/>
        </w:rPr>
        <w:t>城乡社区支出（类）国有土地收益基金安排的支出（款）征地和拆迁补偿支出（项）</w:t>
      </w:r>
    </w:p>
    <w:p w14:paraId="367AA0C3">
      <w:pPr>
        <w:ind w:firstLine="640" w:firstLineChars="200"/>
        <w:rPr>
          <w:rFonts w:hint="default" w:ascii="仿宋_GB2312" w:hAnsi="ˎ̥" w:eastAsia="仿宋_GB2312"/>
          <w:color w:val="auto"/>
          <w:sz w:val="32"/>
          <w:szCs w:val="32"/>
          <w:highlight w:val="yellow"/>
          <w:lang w:val="en-US"/>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3,105.00</w:t>
      </w:r>
      <w:r>
        <w:rPr>
          <w:rFonts w:hint="eastAsia" w:ascii="仿宋_GB2312" w:hAnsi="ˎ̥" w:eastAsia="仿宋_GB2312"/>
          <w:color w:val="auto"/>
          <w:sz w:val="32"/>
          <w:szCs w:val="32"/>
          <w:highlight w:val="none"/>
        </w:rPr>
        <w:t>元，支出决算为1</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438.9万元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完成预算的46.34%。</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小</w:t>
      </w:r>
      <w:r>
        <w:rPr>
          <w:rFonts w:hint="eastAsia" w:ascii="仿宋_GB2312" w:hAnsi="ˎ̥" w:eastAsia="仿宋_GB2312"/>
          <w:color w:val="auto"/>
          <w:sz w:val="32"/>
          <w:szCs w:val="32"/>
          <w:highlight w:val="none"/>
        </w:rPr>
        <w:t>于预算数主要原因</w:t>
      </w:r>
      <w:r>
        <w:rPr>
          <w:rFonts w:hint="eastAsia" w:ascii="仿宋_GB2312" w:hAnsi="ˎ̥" w:eastAsia="仿宋_GB2312"/>
          <w:color w:val="auto"/>
          <w:sz w:val="32"/>
          <w:szCs w:val="32"/>
          <w:highlight w:val="none"/>
          <w:lang w:val="en-US" w:eastAsia="zh-CN"/>
        </w:rPr>
        <w:t>是年中根据资金需求，调整1,271.14元至政府投资项目，从城乡社区支出（类）国有土地收益基金安排的支出（款）征地和拆迁补偿支出（项）调整至城乡社区支出（类）国有土地使用权出让收入安排的支出（款）城市建设支出（项）。</w:t>
      </w:r>
    </w:p>
    <w:p w14:paraId="0DA2583F">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5.</w:t>
      </w:r>
      <w:r>
        <w:rPr>
          <w:rFonts w:hint="eastAsia" w:ascii="仿宋_GB2312" w:hAnsi="ˎ̥" w:eastAsia="仿宋_GB2312"/>
          <w:b/>
          <w:bCs/>
          <w:color w:val="auto"/>
          <w:sz w:val="32"/>
          <w:szCs w:val="32"/>
          <w:highlight w:val="none"/>
        </w:rPr>
        <w:t>城乡社区支出（类）超长期特别国债安排的支出（款）城乡社区公共设施（项）</w:t>
      </w:r>
    </w:p>
    <w:p w14:paraId="0B7F114D">
      <w:pPr>
        <w:ind w:firstLine="640" w:firstLineChars="200"/>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4,213.91万</w:t>
      </w:r>
      <w:r>
        <w:rPr>
          <w:rFonts w:hint="eastAsia" w:ascii="仿宋_GB2312" w:hAnsi="ˎ̥" w:eastAsia="仿宋_GB2312"/>
          <w:color w:val="auto"/>
          <w:sz w:val="32"/>
          <w:szCs w:val="32"/>
          <w:highlight w:val="none"/>
        </w:rPr>
        <w:t>元，支出决算为4</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213.91万元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完成预算的</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与预算数持平</w:t>
      </w:r>
      <w:r>
        <w:rPr>
          <w:rFonts w:hint="eastAsia" w:ascii="仿宋_GB2312" w:hAnsi="ˎ̥" w:eastAsia="仿宋_GB2312"/>
          <w:color w:val="auto"/>
          <w:sz w:val="32"/>
          <w:szCs w:val="32"/>
          <w:highlight w:val="none"/>
        </w:rPr>
        <w:t>。</w:t>
      </w:r>
    </w:p>
    <w:p w14:paraId="3896F361">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6.</w:t>
      </w:r>
      <w:r>
        <w:rPr>
          <w:rFonts w:hint="eastAsia" w:ascii="仿宋_GB2312" w:hAnsi="ˎ̥" w:eastAsia="仿宋_GB2312"/>
          <w:b/>
          <w:bCs/>
          <w:color w:val="auto"/>
          <w:sz w:val="32"/>
          <w:szCs w:val="32"/>
          <w:highlight w:val="none"/>
        </w:rPr>
        <w:t>其他支出（类）其他政府性基金及对应专项债务收入安排的支出（款）其他地方自行试点项目收益专项债券收入安排的支出（项）</w:t>
      </w:r>
    </w:p>
    <w:p w14:paraId="07A25A18">
      <w:pPr>
        <w:ind w:firstLine="640" w:firstLineChars="200"/>
        <w:rPr>
          <w:rFonts w:hint="eastAsia"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8,346.48</w:t>
      </w:r>
      <w:r>
        <w:rPr>
          <w:rFonts w:hint="eastAsia" w:ascii="仿宋_GB2312" w:hAnsi="ˎ̥" w:eastAsia="仿宋_GB2312"/>
          <w:color w:val="auto"/>
          <w:sz w:val="32"/>
          <w:szCs w:val="32"/>
          <w:highlight w:val="none"/>
        </w:rPr>
        <w:t>万元，支出决算为327</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409万元，完成年初预算的</w:t>
      </w:r>
      <w:r>
        <w:rPr>
          <w:rFonts w:hint="eastAsia" w:ascii="仿宋_GB2312" w:hAnsi="ˎ̥" w:eastAsia="仿宋_GB2312"/>
          <w:color w:val="auto"/>
          <w:sz w:val="32"/>
          <w:szCs w:val="32"/>
          <w:highlight w:val="none"/>
          <w:lang w:val="en-US" w:eastAsia="zh-CN"/>
        </w:rPr>
        <w:t>3922.72</w:t>
      </w:r>
      <w:r>
        <w:rPr>
          <w:rFonts w:hint="eastAsia" w:ascii="仿宋_GB2312" w:hAnsi="ˎ̥" w:eastAsia="仿宋_GB2312"/>
          <w:color w:val="auto"/>
          <w:sz w:val="32"/>
          <w:szCs w:val="32"/>
          <w:highlight w:val="none"/>
        </w:rPr>
        <w:t>%。决算数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是根据建设需要多个政府投资项目资金在年中下达。</w:t>
      </w:r>
    </w:p>
    <w:p w14:paraId="757CBB54">
      <w:pPr>
        <w:ind w:firstLine="643" w:firstLineChars="200"/>
        <w:rPr>
          <w:rFonts w:hint="eastAsia" w:ascii="仿宋_GB2312" w:hAnsi="ˎ̥" w:eastAsia="仿宋_GB2312"/>
          <w:b/>
          <w:bCs/>
          <w:color w:val="auto"/>
          <w:sz w:val="32"/>
          <w:szCs w:val="32"/>
          <w:highlight w:val="none"/>
        </w:rPr>
      </w:pPr>
      <w:r>
        <w:rPr>
          <w:rFonts w:hint="eastAsia" w:ascii="仿宋_GB2312" w:hAnsi="ˎ̥" w:eastAsia="仿宋_GB2312"/>
          <w:b/>
          <w:bCs/>
          <w:color w:val="auto"/>
          <w:sz w:val="32"/>
          <w:szCs w:val="32"/>
          <w:highlight w:val="none"/>
          <w:lang w:val="en-US" w:eastAsia="zh-CN"/>
        </w:rPr>
        <w:t>7.</w:t>
      </w:r>
      <w:r>
        <w:rPr>
          <w:rFonts w:hint="eastAsia" w:ascii="仿宋_GB2312" w:hAnsi="ˎ̥" w:eastAsia="仿宋_GB2312"/>
          <w:b/>
          <w:bCs/>
          <w:color w:val="auto"/>
          <w:sz w:val="32"/>
          <w:szCs w:val="32"/>
          <w:highlight w:val="none"/>
        </w:rPr>
        <w:t>其他支出（类）其他政府性基金及对应专项债务收入安排的支出（款）其他政府性基金债务收入安排的支出（项）</w:t>
      </w:r>
    </w:p>
    <w:p w14:paraId="37B94F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color w:val="auto"/>
          <w:highlight w:val="none"/>
        </w:rPr>
      </w:pPr>
      <w:r>
        <w:rPr>
          <w:rFonts w:hint="eastAsia" w:ascii="仿宋_GB2312" w:hAnsi="ˎ̥" w:eastAsia="仿宋_GB2312"/>
          <w:color w:val="auto"/>
          <w:sz w:val="32"/>
          <w:szCs w:val="32"/>
          <w:highlight w:val="none"/>
        </w:rPr>
        <w:t>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万元，支出决算为6</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074.13万元。决算数</w:t>
      </w:r>
      <w:r>
        <w:rPr>
          <w:rFonts w:hint="eastAsia" w:ascii="仿宋_GB2312" w:hAnsi="ˎ̥" w:eastAsia="仿宋_GB2312"/>
          <w:color w:val="auto"/>
          <w:sz w:val="32"/>
          <w:szCs w:val="32"/>
          <w:highlight w:val="none"/>
          <w:lang w:val="en-US" w:eastAsia="zh-CN"/>
        </w:rPr>
        <w:t>大于</w:t>
      </w:r>
      <w:r>
        <w:rPr>
          <w:rFonts w:hint="eastAsia" w:ascii="仿宋_GB2312" w:hAnsi="ˎ̥" w:eastAsia="仿宋_GB2312"/>
          <w:color w:val="auto"/>
          <w:sz w:val="32"/>
          <w:szCs w:val="32"/>
          <w:highlight w:val="none"/>
        </w:rPr>
        <w:t>预算数的主要原因</w:t>
      </w:r>
      <w:r>
        <w:rPr>
          <w:rFonts w:hint="eastAsia" w:ascii="仿宋_GB2312" w:hAnsi="ˎ̥" w:eastAsia="仿宋_GB2312"/>
          <w:color w:val="auto"/>
          <w:sz w:val="32"/>
          <w:szCs w:val="32"/>
          <w:highlight w:val="none"/>
          <w:lang w:val="en-US" w:eastAsia="zh-CN"/>
        </w:rPr>
        <w:t>是根据建设需要多个政府投资项目资金在年中下达，无年初预算。</w:t>
      </w:r>
    </w:p>
    <w:p w14:paraId="27DEF70C">
      <w:pPr>
        <w:keepNext w:val="0"/>
        <w:keepLines w:val="0"/>
        <w:pageBreakBefore w:val="0"/>
        <w:widowControl w:val="0"/>
        <w:tabs>
          <w:tab w:val="center" w:pos="4473"/>
        </w:tabs>
        <w:kinsoku/>
        <w:wordWrap/>
        <w:overflowPunct/>
        <w:topLinePunct w:val="0"/>
        <w:autoSpaceDE/>
        <w:autoSpaceDN/>
        <w:bidi w:val="0"/>
        <w:adjustRightInd/>
        <w:snapToGrid/>
        <w:spacing w:line="578" w:lineRule="exact"/>
        <w:textAlignment w:val="auto"/>
        <w:rPr>
          <w:rFonts w:hint="eastAsia" w:ascii="黑体" w:hAnsi="黑体" w:eastAsia="黑体" w:cs="黑体"/>
          <w:bCs/>
          <w:color w:val="auto"/>
          <w:sz w:val="32"/>
          <w:szCs w:val="32"/>
        </w:rPr>
      </w:pPr>
    </w:p>
    <w:p w14:paraId="4CC718F2">
      <w:pPr>
        <w:pStyle w:val="2"/>
        <w:rPr>
          <w:rFonts w:hint="eastAsia"/>
        </w:rPr>
      </w:pPr>
    </w:p>
    <w:p w14:paraId="101E92BC">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八、国有资本经营预算财政拨款支出决算情况说明</w:t>
      </w:r>
    </w:p>
    <w:p w14:paraId="37A8A36D">
      <w:pPr>
        <w:widowControl w:val="0"/>
        <w:ind w:firstLine="640" w:firstLineChars="200"/>
        <w:jc w:val="both"/>
        <w:rPr>
          <w:rFonts w:hint="eastAsia" w:ascii="仿宋_GB2312" w:hAnsi="ˎ̥" w:eastAsia="仿宋_GB2312" w:cs="Times New Roman"/>
          <w:color w:val="auto"/>
          <w:kern w:val="2"/>
          <w:sz w:val="32"/>
          <w:szCs w:val="32"/>
          <w:highlight w:val="none"/>
          <w:lang w:val="en-US" w:eastAsia="zh-CN" w:bidi="ar-SA"/>
        </w:rPr>
      </w:pPr>
      <w:r>
        <w:rPr>
          <w:rFonts w:hint="eastAsia" w:ascii="仿宋_GB2312" w:hAnsi="ˎ̥" w:eastAsia="仿宋_GB2312" w:cs="Times New Roman"/>
          <w:color w:val="auto"/>
          <w:kern w:val="2"/>
          <w:sz w:val="32"/>
          <w:szCs w:val="32"/>
          <w:highlight w:val="none"/>
          <w:lang w:val="en-US" w:eastAsia="zh-CN" w:bidi="ar-SA"/>
        </w:rPr>
        <w:t>无此类事项。</w:t>
      </w:r>
    </w:p>
    <w:p w14:paraId="0B7AA95A">
      <w:pPr>
        <w:pStyle w:val="2"/>
        <w:rPr>
          <w:rFonts w:hint="eastAsia"/>
        </w:rPr>
      </w:pPr>
    </w:p>
    <w:p w14:paraId="5834EC2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color w:val="auto"/>
          <w:sz w:val="32"/>
          <w:szCs w:val="32"/>
        </w:rPr>
      </w:pPr>
      <w:r>
        <w:rPr>
          <w:rFonts w:hint="eastAsia" w:ascii="黑体" w:hAnsi="黑体" w:eastAsia="黑体" w:cs="黑体"/>
          <w:bCs/>
          <w:color w:val="auto"/>
          <w:sz w:val="32"/>
          <w:szCs w:val="32"/>
        </w:rPr>
        <w:t>九、财政拨款“三公”经费支出决算情况说明</w:t>
      </w:r>
    </w:p>
    <w:p w14:paraId="18F9E7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（一）财政拨款“三公”经费支出决算总体情况说明</w:t>
      </w:r>
    </w:p>
    <w:p w14:paraId="1367A2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年度财政拨款“三公”经费支出预算为</w:t>
      </w:r>
      <w:r>
        <w:rPr>
          <w:rFonts w:hint="eastAsia" w:ascii="仿宋" w:hAnsi="仿宋" w:eastAsia="仿宋" w:cs="仿宋"/>
          <w:color w:val="auto"/>
          <w:sz w:val="32"/>
          <w:szCs w:val="32"/>
          <w:lang w:val="en-US"/>
        </w:rPr>
        <w:t>45.00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23.19</w:t>
      </w:r>
      <w:r>
        <w:rPr>
          <w:rFonts w:hint="eastAsia" w:ascii="仿宋" w:hAnsi="仿宋" w:eastAsia="仿宋" w:cs="仿宋"/>
          <w:color w:val="auto"/>
          <w:sz w:val="32"/>
          <w:szCs w:val="32"/>
        </w:rPr>
        <w:t>万元，完成预算的</w:t>
      </w:r>
      <w:r>
        <w:rPr>
          <w:rFonts w:hint="eastAsia" w:ascii="仿宋_GB2312" w:hAnsi="ˎ̥" w:eastAsia="仿宋_GB2312"/>
          <w:color w:val="auto"/>
          <w:sz w:val="32"/>
          <w:szCs w:val="32"/>
          <w:lang w:val="en-US" w:eastAsia="zh-CN"/>
        </w:rPr>
        <w:t>51.53</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年度相比，“三公”经费支出减少</w:t>
      </w:r>
      <w:r>
        <w:rPr>
          <w:rFonts w:hint="eastAsia" w:ascii="仿宋" w:hAnsi="仿宋" w:eastAsia="仿宋" w:cs="仿宋"/>
          <w:color w:val="auto"/>
          <w:sz w:val="32"/>
          <w:szCs w:val="32"/>
          <w:lang w:val="en-US" w:eastAsia="zh-CN"/>
        </w:rPr>
        <w:t>21.7</w:t>
      </w:r>
      <w:r>
        <w:rPr>
          <w:rFonts w:hint="eastAsia" w:ascii="仿宋" w:hAnsi="仿宋" w:eastAsia="仿宋" w:cs="仿宋"/>
          <w:color w:val="auto"/>
          <w:sz w:val="32"/>
          <w:szCs w:val="32"/>
        </w:rPr>
        <w:t>万元，下降</w:t>
      </w:r>
      <w:r>
        <w:rPr>
          <w:rFonts w:hint="eastAsia" w:ascii="仿宋_GB2312" w:hAnsi="ˎ̥" w:eastAsia="仿宋_GB2312"/>
          <w:color w:val="auto"/>
          <w:sz w:val="32"/>
          <w:szCs w:val="32"/>
          <w:lang w:val="en-US" w:eastAsia="zh-CN"/>
        </w:rPr>
        <w:t>48.35</w:t>
      </w:r>
      <w:r>
        <w:rPr>
          <w:rFonts w:hint="eastAsia" w:ascii="仿宋" w:hAnsi="仿宋" w:eastAsia="仿宋" w:cs="仿宋"/>
          <w:color w:val="auto"/>
          <w:sz w:val="32"/>
          <w:szCs w:val="32"/>
        </w:rPr>
        <w:t>%，主要原因是</w:t>
      </w:r>
      <w:r>
        <w:rPr>
          <w:rFonts w:hint="eastAsia" w:ascii="仿宋_GB2312" w:hAnsi="ˎ̥" w:eastAsia="仿宋_GB2312" w:cs="Times New Roman"/>
          <w:b w:val="0"/>
          <w:bCs w:val="0"/>
          <w:color w:val="auto"/>
          <w:kern w:val="2"/>
          <w:sz w:val="32"/>
          <w:szCs w:val="32"/>
          <w:highlight w:val="none"/>
        </w:rPr>
        <w:t>厉行节约，</w:t>
      </w:r>
      <w:r>
        <w:rPr>
          <w:rFonts w:hint="eastAsia" w:ascii="仿宋_GB2312" w:hAnsi="ˎ̥" w:eastAsia="仿宋_GB2312" w:cs="Times New Roman"/>
          <w:b w:val="0"/>
          <w:bCs w:val="0"/>
          <w:color w:val="auto"/>
          <w:kern w:val="2"/>
          <w:sz w:val="32"/>
          <w:szCs w:val="32"/>
          <w:highlight w:val="none"/>
          <w:lang w:val="en-US" w:eastAsia="zh-CN"/>
        </w:rPr>
        <w:t>严控“三公”经费支出</w:t>
      </w:r>
      <w:r>
        <w:rPr>
          <w:rFonts w:hint="eastAsia" w:ascii="仿宋" w:hAnsi="仿宋" w:eastAsia="仿宋" w:cs="仿宋"/>
          <w:color w:val="auto"/>
          <w:sz w:val="32"/>
          <w:szCs w:val="32"/>
        </w:rPr>
        <w:t>。</w:t>
      </w:r>
    </w:p>
    <w:p w14:paraId="0787B1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（二）财政拨款“三公”经费支出决算具体情况说明</w:t>
      </w:r>
    </w:p>
    <w:p w14:paraId="7B26A5C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年度财政拨款“三公”经费支出决算中，因公出国（境）费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rPr>
        <w:t>22.73</w:t>
      </w:r>
      <w:r>
        <w:rPr>
          <w:rFonts w:hint="eastAsia" w:ascii="仿宋" w:hAnsi="仿宋" w:eastAsia="仿宋" w:cs="仿宋"/>
          <w:color w:val="auto"/>
          <w:sz w:val="32"/>
          <w:szCs w:val="32"/>
        </w:rPr>
        <w:t>万元，占</w:t>
      </w:r>
      <w:r>
        <w:rPr>
          <w:rFonts w:hint="eastAsia" w:ascii="仿宋_GB2312" w:hAnsi="ˎ̥" w:eastAsia="仿宋_GB2312"/>
          <w:b w:val="0"/>
          <w:bCs w:val="0"/>
          <w:color w:val="auto"/>
          <w:sz w:val="32"/>
          <w:szCs w:val="32"/>
          <w:lang w:val="en-US" w:eastAsia="zh-CN"/>
        </w:rPr>
        <w:t>98.02</w:t>
      </w:r>
      <w:r>
        <w:rPr>
          <w:rFonts w:hint="eastAsia" w:ascii="仿宋" w:hAnsi="仿宋" w:eastAsia="仿宋" w:cs="仿宋"/>
          <w:color w:val="auto"/>
          <w:sz w:val="32"/>
          <w:szCs w:val="32"/>
        </w:rPr>
        <w:t>%；公务用车购置及运行维护费支出决算</w:t>
      </w:r>
      <w:r>
        <w:rPr>
          <w:rFonts w:hint="eastAsia" w:ascii="仿宋" w:hAnsi="仿宋" w:eastAsia="仿宋" w:cs="仿宋"/>
          <w:color w:val="auto"/>
          <w:sz w:val="32"/>
          <w:szCs w:val="32"/>
          <w:lang w:val="en-US"/>
        </w:rPr>
        <w:t>0</w:t>
      </w:r>
      <w:r>
        <w:rPr>
          <w:rFonts w:hint="eastAsia" w:ascii="仿宋" w:hAnsi="仿宋" w:eastAsia="仿宋" w:cs="仿宋"/>
          <w:color w:val="auto"/>
          <w:sz w:val="32"/>
          <w:szCs w:val="32"/>
        </w:rPr>
        <w:t>元；公务接待费支出决算</w:t>
      </w:r>
      <w:r>
        <w:rPr>
          <w:rFonts w:hint="eastAsia" w:ascii="仿宋" w:hAnsi="仿宋" w:eastAsia="仿宋" w:cs="仿宋"/>
          <w:color w:val="auto"/>
          <w:sz w:val="32"/>
          <w:szCs w:val="32"/>
          <w:lang w:val="en-US"/>
        </w:rPr>
        <w:t>0.46</w:t>
      </w:r>
      <w:r>
        <w:rPr>
          <w:rFonts w:hint="eastAsia" w:ascii="仿宋" w:hAnsi="仿宋" w:eastAsia="仿宋" w:cs="仿宋"/>
          <w:color w:val="auto"/>
          <w:sz w:val="32"/>
          <w:szCs w:val="32"/>
        </w:rPr>
        <w:t>万元，占</w:t>
      </w:r>
      <w:r>
        <w:rPr>
          <w:rFonts w:hint="eastAsia" w:ascii="仿宋_GB2312" w:hAnsi="ˎ̥" w:eastAsia="仿宋_GB2312"/>
          <w:b w:val="0"/>
          <w:bCs w:val="0"/>
          <w:color w:val="auto"/>
          <w:sz w:val="32"/>
          <w:szCs w:val="32"/>
          <w:lang w:val="en-US" w:eastAsia="zh-CN"/>
        </w:rPr>
        <w:t>1.98</w:t>
      </w:r>
      <w:r>
        <w:rPr>
          <w:rFonts w:hint="eastAsia" w:ascii="仿宋" w:hAnsi="仿宋" w:eastAsia="仿宋" w:cs="仿宋"/>
          <w:color w:val="auto"/>
          <w:sz w:val="32"/>
          <w:szCs w:val="32"/>
        </w:rPr>
        <w:t>%。具体情况如下：</w:t>
      </w:r>
    </w:p>
    <w:p w14:paraId="12961B6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1.因公出国（境）费</w:t>
      </w:r>
      <w:r>
        <w:rPr>
          <w:rFonts w:hint="eastAsia" w:ascii="仿宋" w:hAnsi="仿宋" w:eastAsia="仿宋" w:cs="仿宋"/>
          <w:b/>
          <w:color w:val="auto"/>
          <w:sz w:val="32"/>
          <w:szCs w:val="32"/>
          <w:lang w:val="en-US" w:eastAsia="zh-CN"/>
        </w:rPr>
        <w:t>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22.73</w:t>
      </w:r>
      <w:r>
        <w:rPr>
          <w:rFonts w:hint="eastAsia" w:ascii="仿宋" w:hAnsi="仿宋" w:eastAsia="仿宋" w:cs="仿宋"/>
          <w:color w:val="auto"/>
          <w:sz w:val="32"/>
          <w:szCs w:val="32"/>
        </w:rPr>
        <w:t>万元。全年安排因公出国（境）团组</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个，因公出国（境）</w:t>
      </w:r>
      <w:r>
        <w:rPr>
          <w:rFonts w:hint="eastAsia" w:ascii="仿宋" w:hAnsi="仿宋" w:eastAsia="仿宋" w:cs="仿宋"/>
          <w:color w:val="auto"/>
          <w:sz w:val="32"/>
          <w:szCs w:val="32"/>
          <w:lang w:val="en-US" w:eastAsia="zh-CN"/>
        </w:rPr>
        <w:t>14</w:t>
      </w:r>
      <w:r>
        <w:rPr>
          <w:rFonts w:hint="eastAsia" w:ascii="仿宋" w:hAnsi="仿宋" w:eastAsia="仿宋" w:cs="仿宋"/>
          <w:color w:val="auto"/>
          <w:sz w:val="32"/>
          <w:szCs w:val="32"/>
        </w:rPr>
        <w:t>人次。</w:t>
      </w:r>
      <w:r>
        <w:rPr>
          <w:rFonts w:hint="eastAsia" w:ascii="仿宋_GB2312" w:hAnsi="ˎ̥" w:eastAsia="仿宋_GB2312"/>
          <w:color w:val="auto"/>
          <w:sz w:val="32"/>
          <w:szCs w:val="32"/>
          <w:highlight w:val="none"/>
        </w:rPr>
        <w:t>开支内容</w:t>
      </w:r>
      <w:r>
        <w:rPr>
          <w:rFonts w:hint="eastAsia" w:ascii="仿宋_GB2312" w:hAnsi="ˎ̥" w:eastAsia="仿宋_GB2312"/>
          <w:color w:val="auto"/>
          <w:sz w:val="32"/>
          <w:szCs w:val="32"/>
          <w:highlight w:val="none"/>
          <w:lang w:val="en-US" w:eastAsia="zh-CN"/>
        </w:rPr>
        <w:t>主要是城市间交通费、公杂费、伙食补助、住宿费。</w:t>
      </w:r>
    </w:p>
    <w:p w14:paraId="732BBD5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eastAsia="zh-CN"/>
        </w:rPr>
        <w:t>数</w:t>
      </w:r>
      <w:r>
        <w:rPr>
          <w:rFonts w:hint="eastAsia" w:ascii="仿宋" w:hAnsi="仿宋" w:eastAsia="仿宋" w:cs="仿宋"/>
          <w:color w:val="auto"/>
          <w:sz w:val="32"/>
          <w:szCs w:val="32"/>
        </w:rPr>
        <w:t>比预算数减少</w:t>
      </w:r>
      <w:r>
        <w:rPr>
          <w:rFonts w:hint="eastAsia" w:ascii="仿宋_GB2312" w:hAnsi="ˎ̥" w:eastAsia="仿宋_GB2312"/>
          <w:b w:val="0"/>
          <w:bCs w:val="0"/>
          <w:color w:val="auto"/>
          <w:sz w:val="32"/>
          <w:szCs w:val="32"/>
          <w:lang w:val="en-US" w:eastAsia="zh-CN"/>
        </w:rPr>
        <w:t>17.27</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完成预算的56.83%</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支出减少</w:t>
      </w:r>
      <w:r>
        <w:rPr>
          <w:rFonts w:hint="eastAsia" w:ascii="仿宋" w:hAnsi="仿宋" w:eastAsia="仿宋" w:cs="仿宋"/>
          <w:color w:val="auto"/>
          <w:sz w:val="32"/>
          <w:szCs w:val="32"/>
          <w:lang w:val="en-US" w:eastAsia="zh-CN"/>
        </w:rPr>
        <w:t>16.63</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42.25</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w:t>
      </w:r>
      <w:r>
        <w:rPr>
          <w:rFonts w:hint="eastAsia" w:ascii="仿宋_GB2312" w:hAnsi="ˎ̥" w:eastAsia="仿宋_GB2312" w:cs="Times New Roman"/>
          <w:b w:val="0"/>
          <w:bCs w:val="0"/>
          <w:color w:val="auto"/>
          <w:kern w:val="2"/>
          <w:sz w:val="32"/>
          <w:szCs w:val="32"/>
          <w:highlight w:val="none"/>
          <w:lang w:val="en-US" w:eastAsia="zh-CN"/>
        </w:rPr>
        <w:t>年出国招商活动安排减少，实际支出减少</w:t>
      </w:r>
      <w:r>
        <w:rPr>
          <w:rFonts w:hint="eastAsia" w:ascii="仿宋_GB2312" w:hAnsi="ˎ̥" w:eastAsia="仿宋_GB2312"/>
          <w:b w:val="0"/>
          <w:bCs w:val="0"/>
          <w:color w:val="auto"/>
          <w:sz w:val="32"/>
          <w:szCs w:val="32"/>
          <w:highlight w:val="none"/>
          <w:lang w:val="en-US" w:eastAsia="zh-CN"/>
        </w:rPr>
        <w:t>。</w:t>
      </w:r>
    </w:p>
    <w:p w14:paraId="2F3921BF">
      <w:pPr>
        <w:keepNext w:val="0"/>
        <w:keepLines w:val="0"/>
        <w:pageBreakBefore w:val="0"/>
        <w:numPr>
          <w:ilvl w:val="0"/>
          <w:numId w:val="0"/>
        </w:numPr>
        <w:kinsoku/>
        <w:wordWrap/>
        <w:overflowPunct/>
        <w:autoSpaceDN/>
        <w:bidi w:val="0"/>
        <w:spacing w:line="560" w:lineRule="exact"/>
        <w:ind w:firstLine="643" w:firstLineChars="200"/>
        <w:rPr>
          <w:rFonts w:hint="eastAsia" w:ascii="仿宋" w:hAnsi="仿宋" w:eastAsia="仿宋" w:cs="仿宋"/>
          <w:bCs/>
          <w:color w:val="auto"/>
          <w:sz w:val="32"/>
          <w:szCs w:val="32"/>
          <w:lang w:eastAsia="zh-CN"/>
        </w:rPr>
      </w:pPr>
      <w:r>
        <w:rPr>
          <w:rFonts w:hint="eastAsia" w:ascii="仿宋" w:hAnsi="仿宋" w:eastAsia="仿宋" w:cs="仿宋"/>
          <w:b/>
          <w:color w:val="auto"/>
          <w:sz w:val="32"/>
          <w:szCs w:val="32"/>
        </w:rPr>
        <w:t>2.公务用车购置及运行维护费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w:t>
      </w:r>
      <w:r>
        <w:rPr>
          <w:rFonts w:hint="eastAsia" w:ascii="仿宋" w:hAnsi="仿宋" w:eastAsia="仿宋" w:cs="仿宋"/>
          <w:color w:val="auto"/>
          <w:sz w:val="32"/>
          <w:szCs w:val="32"/>
        </w:rPr>
        <w:t>元</w:t>
      </w:r>
      <w:r>
        <w:rPr>
          <w:rFonts w:hint="eastAsia" w:ascii="仿宋" w:hAnsi="仿宋" w:eastAsia="仿宋" w:cs="仿宋"/>
          <w:color w:val="auto"/>
          <w:sz w:val="32"/>
          <w:szCs w:val="32"/>
          <w:lang w:eastAsia="zh-CN"/>
        </w:rPr>
        <w:t>，</w:t>
      </w:r>
      <w:r>
        <w:rPr>
          <w:rFonts w:hint="eastAsia" w:ascii="仿宋_GB2312" w:hAnsi="ˎ̥" w:eastAsia="仿宋_GB2312"/>
          <w:b w:val="0"/>
          <w:bCs w:val="0"/>
          <w:color w:val="auto"/>
          <w:sz w:val="32"/>
          <w:szCs w:val="32"/>
        </w:rPr>
        <w:t>我局无公车指标。</w:t>
      </w:r>
    </w:p>
    <w:p w14:paraId="4815CAD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3.公务接待费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0.46</w:t>
      </w:r>
      <w:r>
        <w:rPr>
          <w:rFonts w:hint="eastAsia" w:ascii="仿宋" w:hAnsi="仿宋" w:eastAsia="仿宋" w:cs="仿宋"/>
          <w:color w:val="auto"/>
          <w:sz w:val="32"/>
          <w:szCs w:val="32"/>
        </w:rPr>
        <w:t>万元，其中：</w:t>
      </w:r>
    </w:p>
    <w:p w14:paraId="0444BB1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国内接待费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0.46</w:t>
      </w:r>
      <w:r>
        <w:rPr>
          <w:rFonts w:hint="eastAsia" w:ascii="仿宋" w:hAnsi="仿宋" w:eastAsia="仿宋" w:cs="仿宋"/>
          <w:color w:val="auto"/>
          <w:sz w:val="32"/>
          <w:szCs w:val="32"/>
        </w:rPr>
        <w:t>万元，国内公务接待</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38</w:t>
      </w:r>
      <w:r>
        <w:rPr>
          <w:rFonts w:hint="eastAsia" w:ascii="仿宋" w:hAnsi="仿宋" w:eastAsia="仿宋" w:cs="仿宋"/>
          <w:color w:val="auto"/>
          <w:sz w:val="32"/>
          <w:szCs w:val="32"/>
        </w:rPr>
        <w:t>人次；</w:t>
      </w:r>
      <w:r>
        <w:rPr>
          <w:rFonts w:hint="eastAsia" w:ascii="仿宋_GB2312" w:hAnsi="ˎ̥" w:eastAsia="仿宋_GB2312"/>
          <w:color w:val="auto"/>
          <w:sz w:val="32"/>
          <w:szCs w:val="32"/>
          <w:highlight w:val="none"/>
        </w:rPr>
        <w:t>主要用于</w:t>
      </w:r>
      <w:r>
        <w:rPr>
          <w:rFonts w:hint="eastAsia" w:ascii="仿宋_GB2312" w:hAnsi="ˎ̥" w:eastAsia="仿宋_GB2312"/>
          <w:color w:val="auto"/>
          <w:sz w:val="32"/>
          <w:szCs w:val="32"/>
          <w:highlight w:val="none"/>
          <w:lang w:val="en-US" w:eastAsia="zh-CN"/>
        </w:rPr>
        <w:t>接待活动用餐</w:t>
      </w:r>
      <w:r>
        <w:rPr>
          <w:rFonts w:hint="eastAsia" w:ascii="仿宋" w:hAnsi="仿宋" w:eastAsia="仿宋" w:cs="仿宋"/>
          <w:color w:val="auto"/>
          <w:sz w:val="32"/>
          <w:szCs w:val="32"/>
        </w:rPr>
        <w:t>。</w:t>
      </w:r>
    </w:p>
    <w:p w14:paraId="4AC126C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国（境）外接待费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元。</w:t>
      </w:r>
    </w:p>
    <w:p w14:paraId="0374301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val="0"/>
          <w:bCs w:val="0"/>
          <w:color w:val="auto"/>
          <w:sz w:val="32"/>
          <w:szCs w:val="32"/>
          <w:highlight w:val="none"/>
          <w:lang w:val="en-US" w:eastAsia="zh-CN"/>
        </w:rPr>
      </w:pPr>
      <w:r>
        <w:rPr>
          <w:rFonts w:hint="eastAsia" w:ascii="仿宋" w:hAnsi="仿宋" w:eastAsia="仿宋" w:cs="仿宋"/>
          <w:color w:val="auto"/>
          <w:sz w:val="32"/>
          <w:szCs w:val="32"/>
        </w:rPr>
        <w:t>公务接待费支出决算数比预算数减少</w:t>
      </w:r>
      <w:r>
        <w:rPr>
          <w:rFonts w:hint="eastAsia" w:ascii="仿宋" w:hAnsi="仿宋" w:eastAsia="仿宋" w:cs="仿宋"/>
          <w:color w:val="auto"/>
          <w:sz w:val="32"/>
          <w:szCs w:val="32"/>
          <w:lang w:val="en-US" w:eastAsia="zh-CN"/>
        </w:rPr>
        <w:t>4.54</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完成预算的9.2</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color w:val="auto"/>
          <w:sz w:val="32"/>
          <w:szCs w:val="32"/>
        </w:rPr>
        <w:t>公务接待费</w:t>
      </w:r>
      <w:r>
        <w:rPr>
          <w:rFonts w:hint="eastAsia" w:ascii="仿宋" w:hAnsi="仿宋" w:eastAsia="仿宋" w:cs="仿宋"/>
          <w:color w:val="auto"/>
          <w:sz w:val="32"/>
          <w:szCs w:val="32"/>
        </w:rPr>
        <w:t>支出减少</w:t>
      </w:r>
      <w:r>
        <w:rPr>
          <w:rFonts w:hint="eastAsia" w:ascii="仿宋_GB2312" w:hAnsi="ˎ̥" w:eastAsia="仿宋_GB2312"/>
          <w:b w:val="0"/>
          <w:bCs w:val="0"/>
          <w:color w:val="auto"/>
          <w:sz w:val="32"/>
          <w:szCs w:val="32"/>
          <w:lang w:val="en-US" w:eastAsia="zh-CN"/>
        </w:rPr>
        <w:t>5.07</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91.68</w:t>
      </w:r>
      <w:r>
        <w:rPr>
          <w:rFonts w:hint="eastAsia" w:ascii="仿宋" w:hAnsi="仿宋" w:eastAsia="仿宋" w:cs="仿宋"/>
          <w:color w:val="auto"/>
          <w:sz w:val="32"/>
          <w:szCs w:val="32"/>
        </w:rPr>
        <w:t>%，主要原因是</w:t>
      </w:r>
      <w:r>
        <w:rPr>
          <w:rFonts w:hint="eastAsia" w:ascii="仿宋_GB2312" w:hAnsi="ˎ̥" w:eastAsia="仿宋_GB2312"/>
          <w:b w:val="0"/>
          <w:bCs w:val="0"/>
          <w:color w:val="auto"/>
          <w:sz w:val="32"/>
          <w:szCs w:val="32"/>
          <w:highlight w:val="none"/>
          <w:lang w:val="en-US" w:eastAsia="zh-CN"/>
        </w:rPr>
        <w:t>实际为商务接待的费用不再在“公务接待费”中列支，本年按正确指标要素归类。</w:t>
      </w:r>
    </w:p>
    <w:p w14:paraId="07AEC40A">
      <w:pPr>
        <w:pStyle w:val="2"/>
        <w:rPr>
          <w:rFonts w:hint="eastAsia"/>
        </w:rPr>
      </w:pPr>
    </w:p>
    <w:p w14:paraId="3B818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十、预算绩效情况说明</w:t>
      </w:r>
    </w:p>
    <w:p w14:paraId="16F958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highlight w:val="none"/>
        </w:rPr>
      </w:pPr>
      <w:r>
        <w:rPr>
          <w:rFonts w:hint="eastAsia" w:ascii="楷体" w:hAnsi="楷体" w:eastAsia="楷体" w:cs="楷体"/>
          <w:bCs/>
          <w:color w:val="auto"/>
          <w:sz w:val="32"/>
          <w:szCs w:val="32"/>
          <w:highlight w:val="none"/>
        </w:rPr>
        <w:t>（一）绩效管理工作开展情况</w:t>
      </w:r>
    </w:p>
    <w:p w14:paraId="70C3115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根据财政预算管理要求，我部门组织对</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年度预算项目支出全面开展绩效自评。自评项目</w:t>
      </w:r>
      <w:r>
        <w:rPr>
          <w:rFonts w:hint="eastAsia" w:ascii="仿宋_GB2312" w:eastAsia="仿宋_GB2312"/>
          <w:color w:val="auto"/>
          <w:sz w:val="32"/>
          <w:szCs w:val="32"/>
          <w:highlight w:val="none"/>
          <w:lang w:val="en-US" w:eastAsia="zh-CN"/>
        </w:rPr>
        <w:t>118</w:t>
      </w:r>
      <w:r>
        <w:rPr>
          <w:rFonts w:hint="eastAsia" w:ascii="仿宋_GB2312" w:eastAsia="仿宋_GB2312"/>
          <w:color w:val="auto"/>
          <w:sz w:val="32"/>
          <w:szCs w:val="32"/>
          <w:highlight w:val="none"/>
        </w:rPr>
        <w:t>个，共涉及资金547</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735.31</w:t>
      </w:r>
      <w:r>
        <w:rPr>
          <w:rFonts w:hint="eastAsia" w:ascii="仿宋_GB2312" w:hAnsi="Times New Roman" w:eastAsia="仿宋_GB2312" w:cs="Times New Roman"/>
          <w:color w:val="auto"/>
          <w:sz w:val="32"/>
          <w:szCs w:val="32"/>
          <w:highlight w:val="none"/>
        </w:rPr>
        <w:t>万</w:t>
      </w:r>
      <w:r>
        <w:rPr>
          <w:rFonts w:hint="eastAsia" w:ascii="仿宋_GB2312" w:eastAsia="仿宋_GB2312"/>
          <w:color w:val="auto"/>
          <w:sz w:val="32"/>
          <w:szCs w:val="32"/>
          <w:highlight w:val="none"/>
        </w:rPr>
        <w:t>元，自评覆盖率达到100%。</w:t>
      </w:r>
    </w:p>
    <w:p w14:paraId="07D6702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共组织对“</w:t>
      </w:r>
      <w:r>
        <w:rPr>
          <w:rFonts w:hint="eastAsia" w:ascii="仿宋_GB2312" w:eastAsia="仿宋_GB2312"/>
          <w:color w:val="auto"/>
          <w:sz w:val="32"/>
          <w:szCs w:val="32"/>
          <w:highlight w:val="none"/>
          <w:lang w:val="en-US" w:eastAsia="zh-CN"/>
        </w:rPr>
        <w:t>博学路项目</w:t>
      </w:r>
      <w:r>
        <w:rPr>
          <w:rFonts w:hint="eastAsia" w:ascii="仿宋_GB2312" w:eastAsia="仿宋_GB2312"/>
          <w:color w:val="auto"/>
          <w:sz w:val="32"/>
          <w:szCs w:val="32"/>
          <w:highlight w:val="none"/>
        </w:rPr>
        <w:t>”等</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个项目开展了部门评价，涉及资金</w:t>
      </w:r>
      <w:r>
        <w:rPr>
          <w:rFonts w:hint="eastAsia" w:ascii="仿宋_GB2312" w:eastAsia="仿宋_GB2312"/>
          <w:color w:val="auto"/>
          <w:sz w:val="32"/>
          <w:szCs w:val="32"/>
          <w:highlight w:val="none"/>
          <w:lang w:val="en-US" w:eastAsia="zh-CN"/>
        </w:rPr>
        <w:t>144,456.07</w:t>
      </w:r>
      <w:r>
        <w:rPr>
          <w:rFonts w:hint="eastAsia" w:ascii="仿宋_GB2312" w:eastAsia="仿宋_GB2312"/>
          <w:color w:val="auto"/>
          <w:sz w:val="32"/>
          <w:szCs w:val="32"/>
          <w:highlight w:val="none"/>
        </w:rPr>
        <w:t>万元。从评价情况来看，项目资金到位及时，有效保障项目按照计划执行，</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个项目在绩效目标设定、项目立项、资金投入、组织实施、资金管理、绩效目标完成等方面落实情况较好，项目整体评价结果均为优秀。</w:t>
      </w:r>
    </w:p>
    <w:p w14:paraId="24C3E9A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完成部门整体支出绩效评价。从评价情况来看，部门资金拨付审批过程和手续完整，资金使用合规；部门积极履行职责，部门内部员工、社会群众对部门服务满意度较高。</w:t>
      </w:r>
    </w:p>
    <w:p w14:paraId="16FFC1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color w:val="auto"/>
          <w:sz w:val="32"/>
          <w:szCs w:val="32"/>
        </w:rPr>
      </w:pPr>
      <w:r>
        <w:rPr>
          <w:rFonts w:hint="eastAsia" w:ascii="楷体" w:hAnsi="楷体" w:eastAsia="楷体" w:cs="楷体"/>
          <w:bCs/>
          <w:color w:val="auto"/>
          <w:sz w:val="32"/>
          <w:szCs w:val="32"/>
        </w:rPr>
        <w:t>（二）部门决算中项目绩效自评结果</w:t>
      </w:r>
    </w:p>
    <w:p w14:paraId="26A639C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我部门在部门决算中反映海文高速联络线北延线项目、产业发展配套路网项目（三期）等118个项目绩效自评结果，其中：</w:t>
      </w:r>
    </w:p>
    <w:p w14:paraId="07170FE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海文高速联络线北延线项目绩效自评综述：根据年初设定的绩效目标，项目自评得分为100分。全年预算数为29,000万元，执行数为29,000万元，完成预算的100%。项目绩效目标完成情况：一是竣工验收合格率100%；二是项目按计划开工率100%；三是项目按计划完工率100%；四是建筑（工程）综合利用率100%；五是设施正常运转率100%；六是受益群体满意度100%；七是概算调整控制率0。整体来看，完成当年目标。</w:t>
      </w:r>
    </w:p>
    <w:p w14:paraId="1E1D225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产业发展配套路网项目（三期）绩效自评综述：根据年初设定的绩效目标，项目自评得分为99.81分。全年预算数为16,694.94万元，执行数为16,378.95万元，完成预算的98.11%。项目绩效目标完成情况：一是道路建设总长度2,000米；二是项目受益群体人数5,000人；三是受益群体满意度100%；四是超概算项目比例0。整体来看，完成当年目标。</w:t>
      </w:r>
    </w:p>
    <w:p w14:paraId="796FE4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全部项目完整自评报告以及自评表详见附件。</w:t>
      </w:r>
    </w:p>
    <w:p w14:paraId="601A5ED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（三）部门评价结果</w:t>
      </w:r>
    </w:p>
    <w:p w14:paraId="090C30F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我部门组织对“博学路项目”等23个项目开展了部门评价，项目在绩效目标设定、项目立项、资金投入、组织实施、资金管理、绩效目标完成等方面落实情况较好，评价结果均为优秀，其中：</w:t>
      </w:r>
    </w:p>
    <w:p w14:paraId="7A53829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博学路项目全年预算数为558.82万元，执行数为332.61万元，完成预算59.52%。项目自评分为95分，评价等次为优。</w:t>
      </w:r>
      <w:r>
        <w:rPr>
          <w:rFonts w:hint="eastAsia" w:ascii="仿宋_GB2312" w:hAnsi="仿宋_GB2312" w:eastAsia="仿宋_GB2312" w:cs="仿宋_GB2312"/>
          <w:color w:val="auto"/>
          <w:sz w:val="32"/>
          <w:szCs w:val="32"/>
          <w:highlight w:val="none"/>
        </w:rPr>
        <w:t>该项目资金到位及时，项目顺利实施，</w:t>
      </w:r>
      <w:r>
        <w:rPr>
          <w:rFonts w:hint="eastAsia" w:ascii="仿宋_GB2312" w:hAnsi="仿宋_GB2312" w:eastAsia="仿宋_GB2312" w:cs="仿宋_GB2312"/>
          <w:color w:val="auto"/>
          <w:sz w:val="32"/>
          <w:szCs w:val="32"/>
          <w:highlight w:val="none"/>
          <w:lang w:val="en-US" w:eastAsia="zh-CN"/>
        </w:rPr>
        <w:t>2025年年底</w:t>
      </w:r>
      <w:r>
        <w:rPr>
          <w:rFonts w:hint="eastAsia" w:ascii="仿宋_GB2312" w:hAnsi="仿宋_GB2312" w:eastAsia="仿宋_GB2312" w:cs="仿宋_GB2312"/>
          <w:color w:val="auto"/>
          <w:sz w:val="32"/>
          <w:szCs w:val="32"/>
          <w:highlight w:val="none"/>
        </w:rPr>
        <w:t>已完成项目总体</w:t>
      </w:r>
      <w:r>
        <w:rPr>
          <w:rFonts w:hint="eastAsia" w:ascii="仿宋_GB2312" w:hAnsi="仿宋_GB2312" w:eastAsia="仿宋_GB2312" w:cs="仿宋_GB2312"/>
          <w:color w:val="auto"/>
          <w:sz w:val="32"/>
          <w:szCs w:val="32"/>
          <w:highlight w:val="none"/>
          <w:lang w:val="en-US" w:eastAsia="zh-CN"/>
        </w:rPr>
        <w:t>49</w:t>
      </w:r>
      <w:r>
        <w:rPr>
          <w:rFonts w:hint="eastAsia" w:ascii="仿宋_GB2312" w:hAnsi="仿宋_GB2312" w:eastAsia="仿宋_GB2312" w:cs="仿宋_GB2312"/>
          <w:color w:val="auto"/>
          <w:sz w:val="32"/>
          <w:szCs w:val="32"/>
          <w:highlight w:val="none"/>
        </w:rPr>
        <w:t>%的形象进度。项目完成程度较好，实现了预定预算目标</w:t>
      </w:r>
      <w:r>
        <w:rPr>
          <w:rFonts w:hint="eastAsia" w:ascii="仿宋_GB2312" w:eastAsia="仿宋_GB2312"/>
          <w:color w:val="auto"/>
          <w:sz w:val="32"/>
          <w:szCs w:val="32"/>
          <w:highlight w:val="none"/>
          <w:lang w:val="en-US" w:eastAsia="zh-CN"/>
        </w:rPr>
        <w:t>。</w:t>
      </w:r>
    </w:p>
    <w:p w14:paraId="66C788F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eastAsia="仿宋_GB2312"/>
          <w:color w:val="auto"/>
          <w:sz w:val="32"/>
          <w:szCs w:val="32"/>
          <w:highlight w:val="none"/>
          <w:lang w:val="en-US" w:eastAsia="zh-CN"/>
        </w:rPr>
        <w:t>创新研究与管理项目全年预算数为1,811.64万元，执行数为1,531.17万元，</w:t>
      </w:r>
      <w:r>
        <w:rPr>
          <w:rFonts w:hint="eastAsia" w:ascii="仿宋_GB2312" w:hAnsi="ˎ̥" w:eastAsia="仿宋_GB2312"/>
          <w:color w:val="auto"/>
          <w:sz w:val="32"/>
          <w:szCs w:val="32"/>
          <w:highlight w:val="none"/>
        </w:rPr>
        <w:t>完成预算的</w:t>
      </w:r>
      <w:r>
        <w:rPr>
          <w:rFonts w:hint="eastAsia" w:ascii="仿宋_GB2312" w:hAnsi="ˎ̥" w:eastAsia="仿宋_GB2312"/>
          <w:color w:val="auto"/>
          <w:sz w:val="32"/>
          <w:szCs w:val="32"/>
          <w:highlight w:val="none"/>
          <w:lang w:val="en-US" w:eastAsia="zh-CN"/>
        </w:rPr>
        <w:t>84.52</w:t>
      </w:r>
      <w:r>
        <w:rPr>
          <w:rFonts w:hint="eastAsia" w:ascii="仿宋_GB2312" w:hAnsi="ˎ̥" w:eastAsia="仿宋_GB2312"/>
          <w:color w:val="auto"/>
          <w:sz w:val="32"/>
          <w:szCs w:val="32"/>
          <w:highlight w:val="none"/>
        </w:rPr>
        <w:t>%</w:t>
      </w:r>
      <w:r>
        <w:rPr>
          <w:rFonts w:hint="eastAsia" w:ascii="仿宋_GB2312" w:eastAsia="仿宋_GB2312"/>
          <w:color w:val="auto"/>
          <w:sz w:val="32"/>
          <w:szCs w:val="32"/>
          <w:highlight w:val="none"/>
          <w:lang w:val="en-US" w:eastAsia="zh-CN"/>
        </w:rPr>
        <w:t>。项目自评分为98分，评价等次为优。</w:t>
      </w:r>
      <w:r>
        <w:rPr>
          <w:rFonts w:hint="eastAsia" w:ascii="仿宋_GB2312" w:hAnsi="仿宋_GB2312" w:eastAsia="仿宋_GB2312" w:cs="仿宋_GB2312"/>
          <w:color w:val="auto"/>
          <w:sz w:val="32"/>
          <w:szCs w:val="32"/>
          <w:lang w:val="en-US" w:eastAsia="zh-CN"/>
        </w:rPr>
        <w:t>该项目资金到位及时，项目顺利实施，单位的基本运行得到保障，职能作用得到充分发挥，高质量推动了江东新区建设发展。</w:t>
      </w:r>
    </w:p>
    <w:p w14:paraId="2829C7F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eastAsia="仿宋_GB2312"/>
          <w:color w:val="auto"/>
          <w:sz w:val="32"/>
          <w:szCs w:val="32"/>
          <w:highlight w:val="none"/>
          <w:lang w:val="en-US" w:eastAsia="zh-CN"/>
        </w:rPr>
        <w:t>全部项目完整部门评价报告详见附件。</w:t>
      </w:r>
    </w:p>
    <w:p w14:paraId="52EA42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（四）财政评价结果（如有）</w:t>
      </w:r>
    </w:p>
    <w:p w14:paraId="336C9526">
      <w:pPr>
        <w:widowControl w:val="0"/>
        <w:ind w:firstLine="640" w:firstLineChars="200"/>
        <w:jc w:val="both"/>
        <w:rPr>
          <w:rFonts w:hint="eastAsia" w:ascii="仿宋_GB2312" w:hAnsi="ˎ̥" w:eastAsia="仿宋_GB2312" w:cs="Times New Roman"/>
          <w:color w:val="auto"/>
          <w:kern w:val="2"/>
          <w:sz w:val="32"/>
          <w:szCs w:val="32"/>
          <w:highlight w:val="none"/>
          <w:lang w:val="en-US" w:eastAsia="zh-CN" w:bidi="ar-SA"/>
        </w:rPr>
      </w:pPr>
      <w:r>
        <w:rPr>
          <w:rFonts w:hint="eastAsia" w:ascii="仿宋_GB2312" w:hAnsi="ˎ̥" w:eastAsia="仿宋_GB2312" w:cs="Times New Roman"/>
          <w:color w:val="auto"/>
          <w:kern w:val="2"/>
          <w:sz w:val="32"/>
          <w:szCs w:val="32"/>
          <w:highlight w:val="none"/>
          <w:lang w:val="en-US" w:eastAsia="zh-CN" w:bidi="ar-SA"/>
        </w:rPr>
        <w:t>无此类事项。</w:t>
      </w:r>
    </w:p>
    <w:p w14:paraId="57F2D390">
      <w:pPr>
        <w:pStyle w:val="2"/>
        <w:rPr>
          <w:rFonts w:hint="eastAsia"/>
        </w:rPr>
      </w:pPr>
    </w:p>
    <w:p w14:paraId="2488CE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lang w:val="zh-CN"/>
        </w:rPr>
      </w:pPr>
      <w:r>
        <w:rPr>
          <w:rFonts w:hint="eastAsia" w:ascii="黑体" w:hAnsi="黑体" w:eastAsia="黑体" w:cs="黑体"/>
          <w:bCs/>
          <w:color w:val="auto"/>
          <w:sz w:val="32"/>
          <w:szCs w:val="32"/>
          <w:highlight w:val="none"/>
          <w:lang w:val="zh-CN"/>
        </w:rPr>
        <w:t>十一、落实习惯过紧日子要求、保障重点支出情况说明</w:t>
      </w:r>
    </w:p>
    <w:p w14:paraId="04EF91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按照党中央、国务院关于党政机关习惯过紧日子的有关要求，厉行节约办一切事业，严控一般性支出。同时坚持有保有压，优化支出结构，提高资金使用效率。</w:t>
      </w:r>
      <w:r>
        <w:rPr>
          <w:rFonts w:hint="eastAsia" w:ascii="仿宋" w:hAnsi="仿宋" w:eastAsia="仿宋" w:cs="仿宋"/>
          <w:color w:val="auto"/>
          <w:sz w:val="32"/>
          <w:szCs w:val="32"/>
          <w:lang w:val="en-US" w:eastAsia="zh-CN"/>
        </w:rPr>
        <w:t>2025年度重点</w:t>
      </w:r>
      <w:r>
        <w:rPr>
          <w:rFonts w:hint="eastAsia" w:ascii="仿宋" w:hAnsi="仿宋" w:eastAsia="仿宋" w:cs="仿宋"/>
          <w:color w:val="auto"/>
          <w:sz w:val="32"/>
          <w:szCs w:val="32"/>
          <w:lang w:val="zh-CN"/>
        </w:rPr>
        <w:t>保障人员干部队伍和机关运转</w:t>
      </w:r>
      <w:r>
        <w:rPr>
          <w:rFonts w:hint="eastAsia" w:ascii="仿宋" w:hAnsi="仿宋" w:eastAsia="仿宋" w:cs="仿宋"/>
          <w:color w:val="auto"/>
          <w:sz w:val="32"/>
          <w:szCs w:val="32"/>
          <w:lang w:val="en-US" w:eastAsia="zh-CN"/>
        </w:rPr>
        <w:t>支出</w:t>
      </w:r>
      <w:r>
        <w:rPr>
          <w:rFonts w:hint="eastAsia" w:ascii="仿宋" w:hAnsi="仿宋" w:eastAsia="仿宋" w:cs="仿宋"/>
          <w:color w:val="auto"/>
          <w:sz w:val="32"/>
          <w:szCs w:val="32"/>
          <w:lang w:val="zh-CN"/>
        </w:rPr>
        <w:t>，全面压缩各类非核心业务支出、一般性支出，最大限度节约财力。</w:t>
      </w:r>
    </w:p>
    <w:p w14:paraId="116E06D7">
      <w:pPr>
        <w:pStyle w:val="2"/>
        <w:rPr>
          <w:rFonts w:hint="eastAsia"/>
          <w:lang w:val="zh-CN"/>
        </w:rPr>
      </w:pPr>
    </w:p>
    <w:p w14:paraId="7FDC302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w:t>
      </w:r>
      <w:r>
        <w:rPr>
          <w:rFonts w:hint="eastAsia" w:ascii="黑体" w:hAnsi="黑体" w:eastAsia="黑体" w:cs="黑体"/>
          <w:bCs/>
          <w:color w:val="auto"/>
          <w:sz w:val="32"/>
          <w:szCs w:val="32"/>
          <w:lang w:val="en-US" w:eastAsia="zh-CN"/>
        </w:rPr>
        <w:t>二</w:t>
      </w:r>
      <w:r>
        <w:rPr>
          <w:rFonts w:hint="eastAsia" w:ascii="黑体" w:hAnsi="黑体" w:eastAsia="黑体" w:cs="黑体"/>
          <w:bCs/>
          <w:color w:val="auto"/>
          <w:sz w:val="32"/>
          <w:szCs w:val="32"/>
        </w:rPr>
        <w:t>、其他重要事项情况说明</w:t>
      </w:r>
    </w:p>
    <w:p w14:paraId="42D67D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bookmarkStart w:id="95" w:name="_Toc32639_WPSOffice_Level2"/>
      <w:bookmarkStart w:id="96" w:name="_Toc15565_WPSOffice_Level2"/>
      <w:bookmarkStart w:id="97" w:name="_Toc18325_WPSOffice_Level2"/>
      <w:bookmarkStart w:id="98" w:name="_Toc5978_WPSOffice_Level2"/>
      <w:bookmarkStart w:id="99" w:name="_Toc15262_WPSOffice_Level2"/>
      <w:bookmarkStart w:id="100" w:name="_Toc23598_WPSOffice_Level2"/>
      <w:r>
        <w:rPr>
          <w:rFonts w:hint="eastAsia" w:ascii="楷体" w:hAnsi="楷体" w:eastAsia="楷体" w:cs="楷体"/>
          <w:bCs/>
          <w:color w:val="auto"/>
          <w:sz w:val="32"/>
          <w:szCs w:val="32"/>
        </w:rPr>
        <w:t>（一）机关运行经费支出情况</w:t>
      </w:r>
      <w:bookmarkEnd w:id="95"/>
      <w:bookmarkEnd w:id="96"/>
      <w:bookmarkEnd w:id="97"/>
      <w:bookmarkEnd w:id="98"/>
      <w:bookmarkEnd w:id="99"/>
      <w:bookmarkEnd w:id="100"/>
    </w:p>
    <w:p w14:paraId="0B5D60F8">
      <w:pPr>
        <w:ind w:firstLine="640" w:firstLineChars="200"/>
        <w:rPr>
          <w:rFonts w:hint="eastAsia" w:ascii="仿宋_GB2312" w:hAnsi="ˎ̥" w:eastAsia="仿宋_GB2312"/>
          <w:color w:val="auto"/>
          <w:sz w:val="32"/>
          <w:szCs w:val="32"/>
        </w:rPr>
      </w:pPr>
      <w:r>
        <w:rPr>
          <w:rFonts w:hint="default" w:ascii="仿宋_GB2312" w:hAnsi="ˎ̥" w:eastAsia="仿宋_GB2312"/>
          <w:color w:val="auto"/>
          <w:sz w:val="32"/>
          <w:szCs w:val="32"/>
          <w:lang w:val="en-US"/>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highlight w:val="none"/>
          <w:lang w:eastAsia="zh-CN"/>
        </w:rPr>
        <w:t>年度</w:t>
      </w:r>
      <w:r>
        <w:rPr>
          <w:rFonts w:hint="eastAsia" w:ascii="仿宋_GB2312" w:hAnsi="ˎ̥" w:eastAsia="仿宋_GB2312"/>
          <w:color w:val="auto"/>
          <w:sz w:val="32"/>
          <w:szCs w:val="32"/>
          <w:highlight w:val="none"/>
        </w:rPr>
        <w:t>海口江东新区管理局部门机关运行经费</w:t>
      </w:r>
      <w:r>
        <w:rPr>
          <w:rFonts w:hint="eastAsia" w:ascii="仿宋_GB2312" w:hAnsi="ˎ̥" w:eastAsia="仿宋_GB2312"/>
          <w:color w:val="auto"/>
          <w:sz w:val="32"/>
          <w:szCs w:val="32"/>
          <w:highlight w:val="none"/>
          <w:lang w:val="en-US" w:eastAsia="zh-CN"/>
        </w:rPr>
        <w:t>0.42</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主要是基本户转账手续费支出。</w:t>
      </w:r>
    </w:p>
    <w:p w14:paraId="32FB8A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bookmarkStart w:id="101" w:name="_Toc23966_WPSOffice_Level2"/>
      <w:bookmarkStart w:id="102" w:name="_Toc25333_WPSOffice_Level2"/>
      <w:bookmarkStart w:id="103" w:name="_Toc30383_WPSOffice_Level2"/>
      <w:bookmarkStart w:id="104" w:name="_Toc32689_WPSOffice_Level2"/>
      <w:bookmarkStart w:id="105" w:name="_Toc13084_WPSOffice_Level2"/>
      <w:bookmarkStart w:id="106" w:name="_Toc3131_WPSOffice_Level2"/>
      <w:r>
        <w:rPr>
          <w:rFonts w:hint="eastAsia" w:ascii="楷体" w:hAnsi="楷体" w:eastAsia="楷体" w:cs="楷体"/>
          <w:bCs/>
          <w:color w:val="auto"/>
          <w:sz w:val="32"/>
          <w:szCs w:val="32"/>
        </w:rPr>
        <w:t>（二）政府采购支出情况</w:t>
      </w:r>
      <w:bookmarkEnd w:id="101"/>
      <w:bookmarkEnd w:id="102"/>
      <w:bookmarkEnd w:id="103"/>
      <w:bookmarkEnd w:id="104"/>
      <w:bookmarkEnd w:id="105"/>
      <w:bookmarkEnd w:id="106"/>
    </w:p>
    <w:p w14:paraId="39504A0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bookmarkStart w:id="107" w:name="_Toc19989_WPSOffice_Level2"/>
      <w:bookmarkStart w:id="108" w:name="_Toc15129_WPSOffice_Level2"/>
      <w:bookmarkStart w:id="109" w:name="_Toc29584_WPSOffice_Level2"/>
      <w:bookmarkStart w:id="110" w:name="_Toc6016_WPSOffice_Level2"/>
      <w:bookmarkStart w:id="111" w:name="_Toc10902_WPSOffice_Level2"/>
      <w:bookmarkStart w:id="112" w:name="_Toc527_WPSOffice_Level2"/>
      <w:r>
        <w:rPr>
          <w:rFonts w:hint="default" w:ascii="仿宋_GB2312" w:hAnsi="ˎ̥" w:eastAsia="仿宋_GB2312"/>
          <w:color w:val="auto"/>
          <w:sz w:val="32"/>
          <w:szCs w:val="32"/>
          <w:lang w:val="en-US"/>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w:t>
      </w:r>
      <w:r>
        <w:rPr>
          <w:rFonts w:hint="eastAsia" w:ascii="仿宋_GB2312" w:hAnsi="ˎ̥" w:eastAsia="仿宋_GB2312"/>
          <w:color w:val="auto"/>
          <w:sz w:val="32"/>
          <w:szCs w:val="32"/>
          <w:highlight w:val="none"/>
        </w:rPr>
        <w:t>海口江东新区管理局</w:t>
      </w:r>
      <w:r>
        <w:rPr>
          <w:rFonts w:hint="eastAsia" w:ascii="仿宋_GB2312" w:hAnsi="ˎ̥" w:eastAsia="仿宋_GB2312"/>
          <w:color w:val="auto"/>
          <w:sz w:val="32"/>
          <w:szCs w:val="32"/>
        </w:rPr>
        <w:t>政府采购支出总</w:t>
      </w:r>
      <w:r>
        <w:rPr>
          <w:rFonts w:hint="eastAsia" w:ascii="仿宋_GB2312" w:hAnsi="ˎ̥" w:eastAsia="仿宋_GB2312"/>
          <w:color w:val="auto"/>
          <w:sz w:val="32"/>
          <w:szCs w:val="32"/>
          <w:lang w:val="en-US" w:eastAsia="zh-CN"/>
        </w:rPr>
        <w:t>额380</w:t>
      </w:r>
      <w:r>
        <w:rPr>
          <w:rFonts w:hint="eastAsia" w:ascii="仿宋_GB2312" w:hAnsi="ˎ̥" w:eastAsia="仿宋_GB2312"/>
          <w:color w:val="auto"/>
          <w:sz w:val="32"/>
          <w:szCs w:val="32"/>
        </w:rPr>
        <w:t>万元，</w:t>
      </w:r>
      <w:r>
        <w:rPr>
          <w:rFonts w:hint="eastAsia" w:ascii="仿宋_GB2312" w:hAnsi="ˎ̥" w:eastAsia="仿宋_GB2312"/>
          <w:color w:val="auto"/>
          <w:sz w:val="32"/>
          <w:szCs w:val="32"/>
          <w:lang w:val="en-US" w:eastAsia="zh-CN"/>
        </w:rPr>
        <w:t>全部为</w:t>
      </w:r>
      <w:r>
        <w:rPr>
          <w:rFonts w:hint="eastAsia" w:ascii="仿宋_GB2312" w:hAnsi="ˎ̥" w:eastAsia="仿宋_GB2312"/>
          <w:color w:val="auto"/>
          <w:sz w:val="32"/>
          <w:szCs w:val="32"/>
        </w:rPr>
        <w:t>政府采购服务支出。</w:t>
      </w:r>
    </w:p>
    <w:p w14:paraId="30EE14EB">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国有资产占用情况</w:t>
      </w:r>
      <w:bookmarkEnd w:id="107"/>
      <w:bookmarkEnd w:id="108"/>
      <w:bookmarkEnd w:id="109"/>
      <w:bookmarkEnd w:id="110"/>
      <w:bookmarkEnd w:id="111"/>
      <w:bookmarkEnd w:id="112"/>
      <w:bookmarkStart w:id="113" w:name="_Toc8808_WPSOffice_Level1"/>
      <w:bookmarkStart w:id="114" w:name="_Toc15425_WPSOffice_Level1"/>
      <w:bookmarkStart w:id="115" w:name="_Toc8874_WPSOffice_Level1"/>
      <w:bookmarkStart w:id="116" w:name="_Toc11039_WPSOffice_Level1"/>
      <w:bookmarkStart w:id="117" w:name="_Toc4398_WPSOffice_Level1"/>
      <w:bookmarkStart w:id="118" w:name="_Toc17580_WPSOffice_Level1"/>
    </w:p>
    <w:p w14:paraId="20F5AB1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s="Times New Roman"/>
          <w:color w:val="auto"/>
          <w:kern w:val="2"/>
          <w:sz w:val="32"/>
          <w:szCs w:val="32"/>
          <w:highlight w:val="none"/>
          <w:lang w:val="en-US" w:eastAsia="zh-CN" w:bidi="ar-SA"/>
        </w:rPr>
      </w:pPr>
      <w:r>
        <w:rPr>
          <w:rFonts w:hint="eastAsia" w:ascii="仿宋_GB2312" w:hAnsi="ˎ̥" w:eastAsia="仿宋_GB2312" w:cs="Times New Roman"/>
          <w:color w:val="auto"/>
          <w:kern w:val="2"/>
          <w:sz w:val="32"/>
          <w:szCs w:val="32"/>
          <w:highlight w:val="none"/>
          <w:lang w:val="en-US" w:eastAsia="zh-CN" w:bidi="ar-SA"/>
        </w:rPr>
        <w:t>无此类事项。</w:t>
      </w:r>
    </w:p>
    <w:p w14:paraId="7EF08E07">
      <w:pPr>
        <w:pStyle w:val="2"/>
        <w:ind w:left="0" w:leftChars="0" w:firstLine="0" w:firstLineChars="0"/>
        <w:rPr>
          <w:rFonts w:hint="eastAsia" w:ascii="仿宋_GB2312" w:hAnsi="ˎ̥" w:eastAsia="仿宋_GB2312" w:cs="Times New Roman"/>
          <w:color w:val="auto"/>
          <w:kern w:val="2"/>
          <w:sz w:val="32"/>
          <w:szCs w:val="32"/>
          <w:highlight w:val="none"/>
          <w:lang w:val="en-US" w:eastAsia="zh-CN" w:bidi="ar-SA"/>
        </w:rPr>
      </w:pPr>
    </w:p>
    <w:p w14:paraId="7D7EA2A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auto"/>
          <w:sz w:val="32"/>
          <w:szCs w:val="32"/>
        </w:rPr>
      </w:pPr>
      <w:r>
        <w:rPr>
          <w:rFonts w:hint="eastAsia" w:ascii="黑体" w:hAnsi="ˎ̥" w:eastAsia="黑体"/>
          <w:color w:val="auto"/>
          <w:sz w:val="32"/>
          <w:szCs w:val="32"/>
        </w:rPr>
        <w:t>第四部分  名词解释</w:t>
      </w:r>
      <w:bookmarkEnd w:id="113"/>
      <w:bookmarkEnd w:id="114"/>
      <w:bookmarkEnd w:id="115"/>
      <w:bookmarkEnd w:id="116"/>
      <w:bookmarkEnd w:id="117"/>
      <w:bookmarkEnd w:id="118"/>
    </w:p>
    <w:p w14:paraId="7197CEF9">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财政拨款收入：指同级政府财政部门当年拨付的各类财政拨款。</w:t>
      </w:r>
    </w:p>
    <w:p w14:paraId="7DA2B54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二、上级补助收入：指事业单位从主管部门和上级单位取得的非财政补助收入。</w:t>
      </w:r>
    </w:p>
    <w:p w14:paraId="2A9320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三、事业收入：指事业单位开展专业业务活动及辅助活动取得的收入。</w:t>
      </w:r>
    </w:p>
    <w:p w14:paraId="07958E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四、经营收入：指事业单位在专业业务活动及其辅助活动之外开展非独立核算经营活动取得的收入。</w:t>
      </w:r>
    </w:p>
    <w:p w14:paraId="2092876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五、附属单位上缴收入：指事业单位取得附属独立核算单位根据有关规定上缴的收入。</w:t>
      </w:r>
    </w:p>
    <w:p w14:paraId="2323CE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六、其他收入：指除上述“财政拨款收入”“事业收入”“上级补助收入”“经营收入”“附属单位上缴收入”等以外的收入。</w:t>
      </w:r>
    </w:p>
    <w:p w14:paraId="4062D03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14:paraId="64AEE7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八、年初结转和结余：指以前年度尚未完成、结转到本年按有关规定继续使用的资金，或项目已完成等产生的结余资金。</w:t>
      </w:r>
    </w:p>
    <w:p w14:paraId="24D18E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九、结余分配：指事业单位缴纳企业所得税以及从非财政拨款结余或经营结余中提取各类结余的情况。</w:t>
      </w:r>
    </w:p>
    <w:p w14:paraId="5625F0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14:paraId="66457C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十一、基本支出：指为保障机构正常运转、完成日常工作任务而发生的人员支出和公用支出。</w:t>
      </w:r>
    </w:p>
    <w:p w14:paraId="29DCB54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十二、项目支出：指在基本支出之外为完成特定行政任务和事业发展目标所发生的支出。</w:t>
      </w:r>
    </w:p>
    <w:p w14:paraId="2BF293A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十三、经营支出：指事业单位在专业业务活动及其辅助活动之外开展非独立核算经营活动发生的支出。</w:t>
      </w:r>
    </w:p>
    <w:p w14:paraId="4BFE062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color w:val="auto"/>
          <w:sz w:val="32"/>
          <w:szCs w:val="32"/>
          <w:highlight w:val="none"/>
          <w:lang w:eastAsia="zh-CN"/>
        </w:rPr>
        <w:t>用</w:t>
      </w:r>
      <w:r>
        <w:rPr>
          <w:rFonts w:hint="eastAsia" w:ascii="仿宋" w:hAnsi="仿宋" w:eastAsia="仿宋" w:cs="仿宋"/>
          <w:color w:val="auto"/>
          <w:sz w:val="32"/>
          <w:szCs w:val="32"/>
          <w:highlight w:val="none"/>
        </w:rPr>
        <w:t>、公务用车购置及运行维护费和公务接待费。其中，因公出国（境）费</w:t>
      </w:r>
      <w:r>
        <w:rPr>
          <w:rFonts w:hint="eastAsia" w:ascii="仿宋" w:hAnsi="仿宋" w:eastAsia="仿宋" w:cs="仿宋"/>
          <w:color w:val="auto"/>
          <w:sz w:val="32"/>
          <w:szCs w:val="32"/>
          <w:highlight w:val="none"/>
          <w:lang w:eastAsia="zh-CN"/>
        </w:rPr>
        <w:t>用</w:t>
      </w:r>
      <w:r>
        <w:rPr>
          <w:rFonts w:hint="eastAsia" w:ascii="仿宋" w:hAnsi="仿宋" w:eastAsia="仿宋" w:cs="仿宋"/>
          <w:color w:val="auto"/>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670215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76F30C3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十六、支出功能分类：</w:t>
      </w:r>
    </w:p>
    <w:p w14:paraId="6D9EF2F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一般公共服务（类）政府办公厅（室）及相关机构事务（款）一般行政管理事务（项），反映行政单位(包括实行公务员管理的事业单位)未单独设置项级科目的其他项目支出；</w:t>
      </w:r>
    </w:p>
    <w:p w14:paraId="0CFE76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一般公共服务（类）其他一般公共服务支出（款）其他一般公共服务支出（项）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反映除上述项目以外的其他一般公共服务支出</w:t>
      </w:r>
      <w:r>
        <w:rPr>
          <w:rFonts w:hint="eastAsia" w:ascii="仿宋" w:hAnsi="仿宋" w:eastAsia="仿宋" w:cs="仿宋"/>
          <w:color w:val="auto"/>
          <w:sz w:val="32"/>
          <w:szCs w:val="32"/>
          <w:highlight w:val="none"/>
          <w:lang w:eastAsia="zh-CN"/>
        </w:rPr>
        <w:t>；</w:t>
      </w:r>
    </w:p>
    <w:p w14:paraId="35EC19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科学技术支出（类）其他科学技术支出（款）其他科学技术支出（项）</w:t>
      </w:r>
      <w:r>
        <w:rPr>
          <w:rFonts w:hint="eastAsia" w:ascii="仿宋" w:hAnsi="仿宋" w:eastAsia="仿宋" w:cs="仿宋"/>
          <w:color w:val="auto"/>
          <w:sz w:val="32"/>
          <w:szCs w:val="32"/>
          <w:highlight w:val="none"/>
          <w:lang w:eastAsia="zh-CN"/>
        </w:rPr>
        <w:t>，反映其他科学技术支出中除以上各项外用于科技方面的支</w:t>
      </w:r>
      <w:r>
        <w:rPr>
          <w:rFonts w:hint="eastAsia" w:ascii="仿宋" w:hAnsi="仿宋" w:eastAsia="仿宋" w:cs="仿宋"/>
          <w:color w:val="auto"/>
          <w:sz w:val="32"/>
          <w:szCs w:val="32"/>
          <w:highlight w:val="none"/>
          <w:lang w:val="en-US" w:eastAsia="zh-CN"/>
        </w:rPr>
        <w:t>出；</w:t>
      </w:r>
    </w:p>
    <w:p w14:paraId="42B2240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社会保障和就业支出（类）行政事业单位养老支出（款）机关事业单位职业年金缴费支出</w:t>
      </w:r>
      <w:r>
        <w:rPr>
          <w:rFonts w:hint="eastAsia" w:ascii="仿宋" w:hAnsi="仿宋" w:eastAsia="仿宋" w:cs="仿宋"/>
          <w:color w:val="auto"/>
          <w:kern w:val="2"/>
          <w:sz w:val="32"/>
          <w:szCs w:val="32"/>
          <w:highlight w:val="none"/>
          <w:lang w:val="en-US" w:eastAsia="zh-CN" w:bidi="ar-SA"/>
        </w:rPr>
        <w:t>（项），反映机关事业单位实施养老保险制度由单位实际缴纳的职业年金支出(含职业年金补记支出)；</w:t>
      </w:r>
    </w:p>
    <w:p w14:paraId="36E43D4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社会保障和就业支出（类）行政事业单位养老支出（款）其他行政事业单位养老支出</w:t>
      </w:r>
      <w:r>
        <w:rPr>
          <w:rFonts w:hint="eastAsia" w:ascii="仿宋" w:hAnsi="仿宋" w:eastAsia="仿宋" w:cs="仿宋"/>
          <w:color w:val="auto"/>
          <w:kern w:val="2"/>
          <w:sz w:val="32"/>
          <w:szCs w:val="32"/>
          <w:highlight w:val="none"/>
          <w:lang w:val="en-US" w:eastAsia="zh-CN" w:bidi="ar-SA"/>
        </w:rPr>
        <w:t>（项），反映除上述项目以外其他用于行政事业单位养老方面的支出；</w:t>
      </w:r>
    </w:p>
    <w:p w14:paraId="7A5E932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城乡社区支出（类）城乡社区公共设施（款）其他城乡社区公共设施支出（项），反映除上述项目以外其他用于城乡社区公共设施方面的支出；</w:t>
      </w:r>
    </w:p>
    <w:p w14:paraId="33C797C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城乡社区支出（类）其他城乡社区支出（款）其他城乡社区支出（项），反映除上述项目以外其他用于城乡社区公共设施方面的支出；</w:t>
      </w:r>
    </w:p>
    <w:p w14:paraId="4D47346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农林水支出（类）水利（款）水利工程建设（项），反映水利系统用于江、河、湖、滩等水利工程建设支出，包括堤防、河道、水库、水利枢纽、涵闸、灌区、供水、蓄滞洪区等水利工程及其附属设备、设施的建设、改造更新、病险水库除险加固、大型灌区改造、农村电气化建设等支出；</w:t>
      </w:r>
    </w:p>
    <w:p w14:paraId="1BACCE3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农林水支出（类）水利（款）其他水利工程建设（项），反映除上述项目以外其他用于水利方面的支出；</w:t>
      </w:r>
    </w:p>
    <w:p w14:paraId="2A41008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资源勘探工业信息等支出（类）支持中小企业发展和管理支出（款）中小企业发展专项（项），反映用于支持中小企业培育、公共服务体系和融资服务体系建设等方面的支出；</w:t>
      </w:r>
    </w:p>
    <w:p w14:paraId="29AF1C8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资源勘探工业信息等支出（类）其他资源勘探工业信息等支出（款）其他资源勘探工业信息等支出（项）反映除上述项目以外其他用于资源勘探工业信息等方面的支出；</w:t>
      </w:r>
    </w:p>
    <w:p w14:paraId="4E333C2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其他支出（类）其他支出（款）其他支出（项）</w:t>
      </w:r>
      <w:r>
        <w:rPr>
          <w:rFonts w:hint="eastAsia" w:ascii="仿宋" w:hAnsi="仿宋" w:eastAsia="仿宋" w:cs="仿宋"/>
          <w:color w:val="auto"/>
          <w:kern w:val="2"/>
          <w:sz w:val="32"/>
          <w:szCs w:val="32"/>
          <w:highlight w:val="none"/>
          <w:lang w:val="en-US" w:eastAsia="zh-CN" w:bidi="ar-SA"/>
        </w:rPr>
        <w:t>，反映除上述项目以外其他不能划分到具体功能科目中的支出项目；</w:t>
      </w:r>
    </w:p>
    <w:p w14:paraId="096D207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城乡社区支出（类）国有土地使用权出让收入安排的支出（款）城市建设支出（项）</w:t>
      </w:r>
      <w:r>
        <w:rPr>
          <w:rFonts w:hint="eastAsia" w:ascii="仿宋" w:hAnsi="仿宋" w:eastAsia="仿宋" w:cs="仿宋"/>
          <w:color w:val="auto"/>
          <w:kern w:val="2"/>
          <w:sz w:val="32"/>
          <w:szCs w:val="32"/>
          <w:highlight w:val="none"/>
          <w:lang w:val="en-US" w:eastAsia="zh-CN" w:bidi="ar-SA"/>
        </w:rPr>
        <w:t>，反映土地出让收入用于完善国有土地使用功能的配套设施建设和城市基础设施建设支出；</w:t>
      </w:r>
    </w:p>
    <w:p w14:paraId="69E8FAB8">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城乡社区支出（类）国有土地使用权出让收入安排的支出（款）农业生产发展支出（项）</w:t>
      </w:r>
      <w:r>
        <w:rPr>
          <w:rFonts w:hint="eastAsia" w:ascii="仿宋" w:hAnsi="仿宋" w:eastAsia="仿宋" w:cs="仿宋"/>
          <w:color w:val="auto"/>
          <w:kern w:val="2"/>
          <w:sz w:val="32"/>
          <w:szCs w:val="32"/>
          <w:highlight w:val="none"/>
          <w:lang w:val="en-US" w:eastAsia="zh-CN" w:bidi="ar-SA"/>
        </w:rPr>
        <w:t>，反映土地出让收入用于高标准农田建设、农田水利建设、农村土地综合整治、耕地及永久基本农田保护支出、现代种业提升等方面的支出；</w:t>
      </w:r>
    </w:p>
    <w:p w14:paraId="04F1E34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城乡社区支出（类）国有土地使用权出让收入安排的支出（款）其他国有土地使用权出让收入安排的支出（项）</w:t>
      </w:r>
      <w:r>
        <w:rPr>
          <w:rFonts w:hint="eastAsia" w:ascii="仿宋" w:hAnsi="仿宋" w:eastAsia="仿宋" w:cs="仿宋"/>
          <w:color w:val="auto"/>
          <w:kern w:val="2"/>
          <w:sz w:val="32"/>
          <w:szCs w:val="32"/>
          <w:highlight w:val="none"/>
          <w:lang w:val="en-US" w:eastAsia="zh-CN" w:bidi="ar-SA"/>
        </w:rPr>
        <w:t>，反映土地出让收入用于其他方面的支出。不包括市县级政府当年按规定用土地出让收入向中央和省级政府缴纳的新增建设用地土地有偿使用费的支出；</w:t>
      </w:r>
    </w:p>
    <w:p w14:paraId="4DAD693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城乡社区支出（类）国有土地收益基金安排的支出（款）征地和拆迁补偿支出（项）</w:t>
      </w:r>
      <w:r>
        <w:rPr>
          <w:rFonts w:hint="eastAsia" w:ascii="仿宋" w:hAnsi="仿宋" w:eastAsia="仿宋" w:cs="仿宋"/>
          <w:color w:val="auto"/>
          <w:kern w:val="2"/>
          <w:sz w:val="32"/>
          <w:szCs w:val="32"/>
          <w:highlight w:val="none"/>
          <w:lang w:val="en-US" w:eastAsia="zh-CN" w:bidi="ar-SA"/>
        </w:rPr>
        <w:t>，反映从国有土地收益基金中安排用于收购储备土地需要支付的土地补偿费、安置补助费、地上附着物和青苗补偿费、拆迁补偿费支出；</w:t>
      </w:r>
    </w:p>
    <w:p w14:paraId="62E7E3EA">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城乡社区支出（类）超长期特别国债安排的支出（款）城乡社区公共设施（项）</w:t>
      </w:r>
      <w:r>
        <w:rPr>
          <w:rFonts w:hint="eastAsia" w:ascii="仿宋" w:hAnsi="仿宋" w:eastAsia="仿宋" w:cs="仿宋"/>
          <w:color w:val="auto"/>
          <w:kern w:val="2"/>
          <w:sz w:val="32"/>
          <w:szCs w:val="32"/>
          <w:highlight w:val="none"/>
          <w:lang w:val="en-US" w:eastAsia="zh-CN" w:bidi="ar-SA"/>
        </w:rPr>
        <w:t>，反映使用超长期特别国债收入安排的城乡社区道路、桥涵、燃气、供暖、公共交通等公共设施建设维护与管理方面的支出；</w:t>
      </w:r>
    </w:p>
    <w:p w14:paraId="7A17F83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其他支出（类）其他政府性基金及对应专项债务收入安排的支出（款）其他地方自行试点项目收益专项债券收入安排的支出（项）</w:t>
      </w:r>
      <w:r>
        <w:rPr>
          <w:rFonts w:hint="eastAsia" w:ascii="仿宋" w:hAnsi="仿宋" w:eastAsia="仿宋" w:cs="仿宋"/>
          <w:color w:val="auto"/>
          <w:kern w:val="2"/>
          <w:sz w:val="32"/>
          <w:szCs w:val="32"/>
          <w:highlight w:val="none"/>
          <w:lang w:val="en-US" w:eastAsia="zh-CN" w:bidi="ar-SA"/>
        </w:rPr>
        <w:t>，其他地方自行试点项目收益专项债券收入安排的支出；</w:t>
      </w:r>
    </w:p>
    <w:p w14:paraId="382C0B4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其他支出（类）其他政府性基金及对应专项债务收入安排的支出（款）其他政府性基金债务收入安排的支出（项）</w:t>
      </w:r>
      <w:r>
        <w:rPr>
          <w:rFonts w:hint="eastAsia" w:ascii="仿宋" w:hAnsi="仿宋" w:eastAsia="仿宋" w:cs="仿宋"/>
          <w:color w:val="auto"/>
          <w:kern w:val="2"/>
          <w:sz w:val="32"/>
          <w:szCs w:val="32"/>
          <w:highlight w:val="none"/>
          <w:lang w:val="en-US" w:eastAsia="zh-CN" w:bidi="ar-SA"/>
        </w:rPr>
        <w:t>，反映其他政府性基金对应专项债务收入安排的支出。</w:t>
      </w:r>
    </w:p>
    <w:sectPr>
      <w:footerReference r:id="rId3" w:type="default"/>
      <w:footerReference r:id="rId4" w:type="even"/>
      <w:pgSz w:w="11906" w:h="16838"/>
      <w:pgMar w:top="1928" w:right="1474" w:bottom="12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E08A">
    <w:pPr>
      <w:pStyle w:val="5"/>
      <w:framePr w:wrap="around" w:vAnchor="text" w:hAnchor="margin" w:xAlign="center" w:y="1"/>
      <w:rPr>
        <w:rStyle w:val="10"/>
        <w:rFonts w:hint="eastAsia" w:ascii="宋体" w:hAnsi="宋体" w:eastAsia="宋体" w:cs="宋体"/>
        <w:sz w:val="28"/>
        <w:szCs w:val="28"/>
      </w:rPr>
    </w:pPr>
    <w:r>
      <w:rPr>
        <w:rFonts w:hint="eastAsia" w:ascii="宋体" w:hAnsi="宋体" w:eastAsia="宋体" w:cs="宋体"/>
        <w:sz w:val="28"/>
        <w:szCs w:val="28"/>
      </w:rPr>
      <w:fldChar w:fldCharType="begin"/>
    </w:r>
    <w:r>
      <w:rPr>
        <w:rStyle w:val="10"/>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0"/>
        <w:rFonts w:hint="eastAsia" w:ascii="宋体" w:hAnsi="宋体" w:eastAsia="宋体" w:cs="宋体"/>
        <w:sz w:val="28"/>
        <w:szCs w:val="28"/>
      </w:rPr>
      <w:t>18</w:t>
    </w:r>
    <w:r>
      <w:rPr>
        <w:rFonts w:hint="eastAsia" w:ascii="宋体" w:hAnsi="宋体" w:eastAsia="宋体" w:cs="宋体"/>
        <w:sz w:val="28"/>
        <w:szCs w:val="28"/>
      </w:rPr>
      <w:fldChar w:fldCharType="end"/>
    </w:r>
  </w:p>
  <w:p w14:paraId="1BD1ED8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F60F">
    <w:pPr>
      <w:pStyle w:val="5"/>
      <w:framePr w:wrap="around" w:vAnchor="text" w:hAnchor="margin" w:xAlign="center" w:y="1"/>
      <w:rPr>
        <w:rStyle w:val="10"/>
      </w:rPr>
    </w:pPr>
    <w:r>
      <w:fldChar w:fldCharType="begin"/>
    </w:r>
    <w:r>
      <w:rPr>
        <w:rStyle w:val="10"/>
      </w:rPr>
      <w:instrText xml:space="preserve">PAGE  </w:instrText>
    </w:r>
    <w:r>
      <w:fldChar w:fldCharType="separate"/>
    </w:r>
    <w:r>
      <w:fldChar w:fldCharType="end"/>
    </w:r>
  </w:p>
  <w:p w14:paraId="07FD915D">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abstractNum w:abstractNumId="2">
    <w:nsid w:val="FB14665C"/>
    <w:multiLevelType w:val="singleLevel"/>
    <w:tmpl w:val="FB14665C"/>
    <w:lvl w:ilvl="0" w:tentative="0">
      <w:start w:val="3"/>
      <w:numFmt w:val="chineseCounting"/>
      <w:suff w:val="nothing"/>
      <w:lvlText w:val="（%1）"/>
      <w:lvlJc w:val="left"/>
      <w:rPr>
        <w:rFonts w:hint="eastAsia"/>
      </w:rPr>
    </w:lvl>
  </w:abstractNum>
  <w:abstractNum w:abstractNumId="3">
    <w:nsid w:val="2261F3BE"/>
    <w:multiLevelType w:val="singleLevel"/>
    <w:tmpl w:val="2261F3BE"/>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6F02DC"/>
    <w:rsid w:val="04CB1139"/>
    <w:rsid w:val="06400C4E"/>
    <w:rsid w:val="080B7C62"/>
    <w:rsid w:val="09201287"/>
    <w:rsid w:val="0AF81AF7"/>
    <w:rsid w:val="0AFD2C6A"/>
    <w:rsid w:val="0B8646CF"/>
    <w:rsid w:val="0D991476"/>
    <w:rsid w:val="0F0D0E98"/>
    <w:rsid w:val="0F5B4403"/>
    <w:rsid w:val="0F64775C"/>
    <w:rsid w:val="0FC80124"/>
    <w:rsid w:val="106D0892"/>
    <w:rsid w:val="12C64068"/>
    <w:rsid w:val="134505B1"/>
    <w:rsid w:val="136F98C7"/>
    <w:rsid w:val="13CC1D73"/>
    <w:rsid w:val="15A25FD9"/>
    <w:rsid w:val="17427E68"/>
    <w:rsid w:val="1755065F"/>
    <w:rsid w:val="17F378CF"/>
    <w:rsid w:val="188C1C7A"/>
    <w:rsid w:val="1AFC29C9"/>
    <w:rsid w:val="1CA52F2E"/>
    <w:rsid w:val="1E3630B9"/>
    <w:rsid w:val="1E766B63"/>
    <w:rsid w:val="22FB1D2D"/>
    <w:rsid w:val="24013373"/>
    <w:rsid w:val="26EEC2B5"/>
    <w:rsid w:val="29472309"/>
    <w:rsid w:val="2B406E77"/>
    <w:rsid w:val="2BF67536"/>
    <w:rsid w:val="2C2A0C43"/>
    <w:rsid w:val="2C895B0F"/>
    <w:rsid w:val="2C953747"/>
    <w:rsid w:val="2D1E73A5"/>
    <w:rsid w:val="2D984D48"/>
    <w:rsid w:val="2DAA682A"/>
    <w:rsid w:val="2DAD00C8"/>
    <w:rsid w:val="32717154"/>
    <w:rsid w:val="34B63260"/>
    <w:rsid w:val="36437F11"/>
    <w:rsid w:val="37FDA7E2"/>
    <w:rsid w:val="389D2A9B"/>
    <w:rsid w:val="3A314D88"/>
    <w:rsid w:val="3A746883"/>
    <w:rsid w:val="3C8A1D00"/>
    <w:rsid w:val="3CA15DE9"/>
    <w:rsid w:val="3D0F0457"/>
    <w:rsid w:val="3DFA2EB5"/>
    <w:rsid w:val="3FD02B45"/>
    <w:rsid w:val="3FE61EE5"/>
    <w:rsid w:val="406508EE"/>
    <w:rsid w:val="408D6263"/>
    <w:rsid w:val="41813C78"/>
    <w:rsid w:val="41B40CEE"/>
    <w:rsid w:val="42834F1E"/>
    <w:rsid w:val="45060392"/>
    <w:rsid w:val="46324186"/>
    <w:rsid w:val="46773AE2"/>
    <w:rsid w:val="46CF6BE8"/>
    <w:rsid w:val="48317291"/>
    <w:rsid w:val="484D5079"/>
    <w:rsid w:val="485F7024"/>
    <w:rsid w:val="488F68F0"/>
    <w:rsid w:val="48C447EC"/>
    <w:rsid w:val="48E70666"/>
    <w:rsid w:val="4C6877E5"/>
    <w:rsid w:val="4D4E6D7A"/>
    <w:rsid w:val="4D6A468D"/>
    <w:rsid w:val="4EA86137"/>
    <w:rsid w:val="51DA7627"/>
    <w:rsid w:val="534A3B3F"/>
    <w:rsid w:val="53AE6184"/>
    <w:rsid w:val="54AB6860"/>
    <w:rsid w:val="55384597"/>
    <w:rsid w:val="56031AB3"/>
    <w:rsid w:val="56B81EA5"/>
    <w:rsid w:val="56CA7FD0"/>
    <w:rsid w:val="57832294"/>
    <w:rsid w:val="57FA38D1"/>
    <w:rsid w:val="58174786"/>
    <w:rsid w:val="5A6A4AC7"/>
    <w:rsid w:val="5AB97EAE"/>
    <w:rsid w:val="5BFB1E7B"/>
    <w:rsid w:val="5D9E1657"/>
    <w:rsid w:val="5F7D3333"/>
    <w:rsid w:val="5F8A1D94"/>
    <w:rsid w:val="601D7037"/>
    <w:rsid w:val="61385890"/>
    <w:rsid w:val="64CC0566"/>
    <w:rsid w:val="66CB4B3F"/>
    <w:rsid w:val="687436E1"/>
    <w:rsid w:val="69066613"/>
    <w:rsid w:val="6A6B4546"/>
    <w:rsid w:val="6A8E20AF"/>
    <w:rsid w:val="6DA45C50"/>
    <w:rsid w:val="6E9A7825"/>
    <w:rsid w:val="6F670F9B"/>
    <w:rsid w:val="71EB5B8A"/>
    <w:rsid w:val="7265409A"/>
    <w:rsid w:val="737450E0"/>
    <w:rsid w:val="74054476"/>
    <w:rsid w:val="742F38C4"/>
    <w:rsid w:val="74AB66DC"/>
    <w:rsid w:val="74C4154C"/>
    <w:rsid w:val="75956FFF"/>
    <w:rsid w:val="778D20C9"/>
    <w:rsid w:val="77AA2D01"/>
    <w:rsid w:val="783C4637"/>
    <w:rsid w:val="793C6888"/>
    <w:rsid w:val="79FB6FA2"/>
    <w:rsid w:val="7BEA102F"/>
    <w:rsid w:val="7CDE1DBD"/>
    <w:rsid w:val="7D943A85"/>
    <w:rsid w:val="7DB0448C"/>
    <w:rsid w:val="7DED4366"/>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964"/>
    </w:pPr>
  </w:style>
  <w:style w:type="paragraph" w:styleId="3">
    <w:name w:val="annotation text"/>
    <w:basedOn w:val="1"/>
    <w:link w:val="12"/>
    <w:qFormat/>
    <w:uiPriority w:val="0"/>
    <w:pPr>
      <w:jc w:val="left"/>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qFormat/>
    <w:uiPriority w:val="0"/>
    <w:rPr>
      <w:b/>
      <w:bCs/>
    </w:rPr>
  </w:style>
  <w:style w:type="character" w:styleId="10">
    <w:name w:val="page number"/>
    <w:qFormat/>
    <w:uiPriority w:val="0"/>
  </w:style>
  <w:style w:type="character" w:styleId="11">
    <w:name w:val="annotation reference"/>
    <w:qFormat/>
    <w:uiPriority w:val="0"/>
    <w:rPr>
      <w:sz w:val="21"/>
      <w:szCs w:val="21"/>
    </w:rPr>
  </w:style>
  <w:style w:type="character" w:customStyle="1" w:styleId="12">
    <w:name w:val="批注文字 Char"/>
    <w:link w:val="3"/>
    <w:qFormat/>
    <w:uiPriority w:val="0"/>
    <w:rPr>
      <w:kern w:val="2"/>
      <w:sz w:val="21"/>
      <w:szCs w:val="24"/>
    </w:rPr>
  </w:style>
  <w:style w:type="character" w:customStyle="1" w:styleId="13">
    <w:name w:val="批注框文本 Char"/>
    <w:link w:val="4"/>
    <w:qFormat/>
    <w:uiPriority w:val="0"/>
    <w:rPr>
      <w:kern w:val="2"/>
      <w:sz w:val="18"/>
      <w:szCs w:val="18"/>
    </w:rPr>
  </w:style>
  <w:style w:type="character" w:customStyle="1" w:styleId="14">
    <w:name w:val="页眉 Char"/>
    <w:link w:val="6"/>
    <w:qFormat/>
    <w:uiPriority w:val="0"/>
    <w:rPr>
      <w:kern w:val="2"/>
      <w:sz w:val="18"/>
      <w:szCs w:val="18"/>
    </w:rPr>
  </w:style>
  <w:style w:type="character" w:customStyle="1" w:styleId="15">
    <w:name w:val="批注主题 Char"/>
    <w:link w:val="7"/>
    <w:qFormat/>
    <w:uiPriority w:val="0"/>
    <w:rPr>
      <w:b/>
      <w:bCs/>
      <w:kern w:val="2"/>
      <w:sz w:val="21"/>
      <w:szCs w:val="24"/>
    </w:rPr>
  </w:style>
  <w:style w:type="paragraph" w:customStyle="1" w:styleId="16">
    <w:name w:val="WPSOffice手动目录 1"/>
    <w:qFormat/>
    <w:uiPriority w:val="0"/>
    <w:rPr>
      <w:rFonts w:ascii="Times New Roman" w:hAnsi="Times New Roman" w:eastAsia="宋体" w:cs="Times New Roman"/>
      <w:lang w:val="en-US" w:eastAsia="zh-CN" w:bidi="ar-SA"/>
    </w:rPr>
  </w:style>
  <w:style w:type="paragraph" w:customStyle="1" w:styleId="17">
    <w:name w:val="WPSOffice手动目录 2"/>
    <w:qFormat/>
    <w:uiPriority w:val="0"/>
    <w:pPr>
      <w:ind w:leftChars="200"/>
    </w:pPr>
    <w:rPr>
      <w:rFonts w:ascii="Times New Roman" w:hAnsi="Times New Roman" w:eastAsia="宋体" w:cs="Times New Roman"/>
      <w:lang w:val="en-US" w:eastAsia="zh-CN" w:bidi="ar-SA"/>
    </w:rPr>
  </w:style>
  <w:style w:type="paragraph" w:customStyle="1" w:styleId="18">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8925</Words>
  <Characters>10014</Characters>
  <Lines>67</Lines>
  <Paragraphs>18</Paragraphs>
  <TotalTime>20</TotalTime>
  <ScaleCrop>false</ScaleCrop>
  <LinksUpToDate>false</LinksUpToDate>
  <CharactersWithSpaces>10059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美南</cp:lastModifiedBy>
  <cp:lastPrinted>2023-08-03T00:58:00Z</cp:lastPrinted>
  <dcterms:modified xsi:type="dcterms:W3CDTF">2026-09-10T01:40:26Z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03AE7F14E2DC4BACB053764200FF950D_13</vt:lpwstr>
  </property>
  <property fmtid="{D5CDD505-2E9C-101B-9397-08002B2CF9AE}" pid="4" name="KSOTemplateDocerSaveRecord">
    <vt:lpwstr>eyJoZGlkIjoiMjg3YzMyNzYzMjVjMWJmOGE2MDgxZTQ4ZDk2NzAxNzYiLCJ1c2VySWQiOiI1NTI5ODc2NDYifQ==</vt:lpwstr>
  </property>
</Properties>
</file>